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tabs>
          <w:tab w:val="clear" w:pos="708"/>
          <w:tab w:val="left" w:pos="4170" w:leader="none"/>
        </w:tabs>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tabs>
          <w:tab w:val="clear" w:pos="708"/>
          <w:tab w:val="left" w:pos="4170" w:leader="none"/>
        </w:tabs>
        <w:spacing w:lineRule="auto" w:line="276"/>
        <w:jc w:val="center"/>
        <w:rPr>
          <w:rFonts w:ascii="Times New Roman" w:hAnsi="Times New Roman" w:cs="Times New Roman"/>
          <w:color w:themeColor="text1" w:val="000000"/>
          <w:sz w:val="28"/>
          <w:szCs w:val="28"/>
        </w:rPr>
      </w:pPr>
      <w:r>
        <w:rPr/>
        <w:drawing>
          <wp:inline distT="0" distB="0" distL="0" distR="0">
            <wp:extent cx="619125" cy="714375"/>
            <wp:effectExtent l="0" t="0" r="0"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www.osinniki.org/uploads/posts/2020-02/1582795341_img_20200227_132323.jpg"/>
                    <pic:cNvPicPr>
                      <a:picLocks noChangeAspect="1" noChangeArrowheads="1"/>
                    </pic:cNvPicPr>
                  </pic:nvPicPr>
                  <pic:blipFill>
                    <a:blip r:embed="rId2"/>
                    <a:stretch>
                      <a:fillRect/>
                    </a:stretch>
                  </pic:blipFill>
                  <pic:spPr bwMode="auto">
                    <a:xfrm>
                      <a:off x="0" y="0"/>
                      <a:ext cx="619125" cy="714375"/>
                    </a:xfrm>
                    <a:prstGeom prst="rect">
                      <a:avLst/>
                    </a:prstGeom>
                    <a:noFill/>
                  </pic:spPr>
                </pic:pic>
              </a:graphicData>
            </a:graphic>
          </wp:inline>
        </w:drawing>
      </w:r>
    </w:p>
    <w:p>
      <w:pPr>
        <w:pStyle w:val="Normal"/>
        <w:jc w:val="center"/>
        <w:rPr>
          <w:sz w:val="28"/>
          <w:szCs w:val="28"/>
        </w:rPr>
      </w:pPr>
      <w:r>
        <w:rPr>
          <w:sz w:val="28"/>
          <w:szCs w:val="28"/>
        </w:rPr>
      </w:r>
    </w:p>
    <w:p>
      <w:pPr>
        <w:pStyle w:val="Normal"/>
        <w:jc w:val="center"/>
        <w:rPr>
          <w:sz w:val="28"/>
          <w:szCs w:val="28"/>
        </w:rPr>
      </w:pPr>
      <w:r>
        <w:rPr>
          <w:sz w:val="28"/>
          <w:szCs w:val="28"/>
        </w:rPr>
        <w:t>РОССИЙСКАЯ ФЕДЕРАЦИЯ</w:t>
      </w:r>
    </w:p>
    <w:p>
      <w:pPr>
        <w:pStyle w:val="Normal"/>
        <w:jc w:val="center"/>
        <w:rPr>
          <w:sz w:val="28"/>
          <w:szCs w:val="28"/>
        </w:rPr>
      </w:pPr>
      <w:r>
        <w:rPr>
          <w:sz w:val="28"/>
          <w:szCs w:val="28"/>
        </w:rPr>
        <w:t>Кемеровская область - Кузбасс</w:t>
      </w:r>
    </w:p>
    <w:p>
      <w:pPr>
        <w:pStyle w:val="Normal"/>
        <w:jc w:val="center"/>
        <w:rPr>
          <w:sz w:val="28"/>
          <w:szCs w:val="28"/>
        </w:rPr>
      </w:pPr>
      <w:r>
        <w:rPr>
          <w:sz w:val="28"/>
          <w:szCs w:val="28"/>
        </w:rPr>
        <w:t>Муниципальное образование – Осинниковский городской округ</w:t>
      </w:r>
    </w:p>
    <w:p>
      <w:pPr>
        <w:pStyle w:val="Normal"/>
        <w:jc w:val="center"/>
        <w:rPr>
          <w:sz w:val="28"/>
          <w:szCs w:val="28"/>
        </w:rPr>
      </w:pPr>
      <w:r>
        <w:rPr>
          <w:sz w:val="28"/>
          <w:szCs w:val="28"/>
        </w:rPr>
        <w:t>Администрация Осинниковского городского округа</w:t>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jc w:val="center"/>
        <w:rPr>
          <w:b/>
          <w:sz w:val="32"/>
          <w:szCs w:val="32"/>
        </w:rPr>
      </w:pPr>
      <w:r>
        <w:rPr>
          <w:b/>
          <w:sz w:val="32"/>
          <w:szCs w:val="32"/>
        </w:rPr>
        <w:t>ПОСТАНОВЛЕНИЕ</w:t>
      </w:r>
    </w:p>
    <w:p>
      <w:pPr>
        <w:pStyle w:val="ConsPlusTitle"/>
        <w:tabs>
          <w:tab w:val="clear" w:pos="708"/>
          <w:tab w:val="left" w:pos="285" w:leader="none"/>
          <w:tab w:val="left" w:pos="7410" w:leader="none"/>
        </w:tabs>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ab/>
        <w:t>______________</w:t>
        <w:tab/>
        <w:t>_____________</w:t>
      </w:r>
    </w:p>
    <w:p>
      <w:pPr>
        <w:pStyle w:val="ConsPlusTitle"/>
        <w:tabs>
          <w:tab w:val="clear" w:pos="708"/>
          <w:tab w:val="left" w:pos="285" w:leader="none"/>
          <w:tab w:val="left" w:pos="7410" w:leader="none"/>
        </w:tabs>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tabs>
          <w:tab w:val="clear" w:pos="708"/>
          <w:tab w:val="left" w:pos="285" w:leader="none"/>
          <w:tab w:val="left" w:pos="7410" w:leader="none"/>
        </w:tabs>
        <w:spacing w:lineRule="auto" w:line="276"/>
        <w:jc w:val="both"/>
        <w:rPr>
          <w:sz w:val="26"/>
          <w:szCs w:val="26"/>
        </w:rPr>
      </w:pPr>
      <w:r>
        <w:rPr>
          <w:rFonts w:cs="Times New Roman" w:ascii="Times New Roman" w:hAnsi="Times New Roman"/>
          <w:b w:val="false"/>
          <w:color w:themeColor="text1" w:val="000000"/>
          <w:sz w:val="26"/>
          <w:szCs w:val="26"/>
        </w:rPr>
        <w:t>Об утверждении порядка разработки и утверждения схемы размещения нестационарных торговых объектов на территории Осинниковского городского округа,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внесение в нее изменений.</w:t>
      </w:r>
    </w:p>
    <w:p>
      <w:pPr>
        <w:pStyle w:val="ConsPlusNormal"/>
        <w:spacing w:lineRule="auto" w:line="276"/>
        <w:ind w:firstLine="540"/>
        <w:jc w:val="both"/>
        <w:rPr>
          <w:rFonts w:ascii="Times New Roman" w:hAnsi="Times New Roman" w:cs="Times New Roman"/>
          <w:sz w:val="26"/>
          <w:szCs w:val="26"/>
        </w:rPr>
      </w:pPr>
      <w:r>
        <w:rPr>
          <w:rFonts w:cs="Times New Roman" w:ascii="Times New Roman" w:hAnsi="Times New Roman"/>
          <w:sz w:val="26"/>
          <w:szCs w:val="26"/>
        </w:rPr>
      </w:r>
    </w:p>
    <w:p>
      <w:pPr>
        <w:pStyle w:val="ConsPlusNormal"/>
        <w:spacing w:lineRule="auto" w:line="276"/>
        <w:ind w:firstLine="540"/>
        <w:jc w:val="both"/>
        <w:rPr/>
      </w:pPr>
      <w:r>
        <w:rPr>
          <w:rFonts w:cs="Times New Roman" w:ascii="Times New Roman" w:hAnsi="Times New Roman"/>
          <w:color w:themeColor="text1" w:val="000000"/>
          <w:sz w:val="26"/>
          <w:szCs w:val="26"/>
        </w:rPr>
        <w:t xml:space="preserve">В соответствии со </w:t>
      </w:r>
      <w:hyperlink r:id="rId3">
        <w:r>
          <w:rPr>
            <w:rStyle w:val="Style9"/>
            <w:rFonts w:cs="Times New Roman" w:ascii="Times New Roman" w:hAnsi="Times New Roman"/>
            <w:color w:themeColor="text1" w:val="000000"/>
            <w:sz w:val="26"/>
            <w:szCs w:val="26"/>
          </w:rPr>
          <w:t>статьей 16</w:t>
        </w:r>
      </w:hyperlink>
      <w:r>
        <w:rPr>
          <w:rFonts w:cs="Times New Roman" w:ascii="Times New Roman" w:hAnsi="Times New Roman"/>
          <w:color w:themeColor="text1" w:val="000000"/>
          <w:sz w:val="26"/>
          <w:szCs w:val="26"/>
        </w:rPr>
        <w:t xml:space="preserve"> Федерального закона от 06 октября 2003 № 131-ФЗ «Об общих принципах организации местного самоуправления в Российской Федерации», </w:t>
      </w:r>
      <w:hyperlink r:id="rId4">
        <w:r>
          <w:rPr>
            <w:rStyle w:val="Style9"/>
            <w:rFonts w:cs="Times New Roman" w:ascii="Times New Roman" w:hAnsi="Times New Roman"/>
            <w:color w:themeColor="text1" w:val="000000"/>
            <w:sz w:val="26"/>
            <w:szCs w:val="26"/>
          </w:rPr>
          <w:t>статьей 6</w:t>
        </w:r>
      </w:hyperlink>
      <w:r>
        <w:rPr>
          <w:rFonts w:cs="Times New Roman" w:ascii="Times New Roman" w:hAnsi="Times New Roman"/>
          <w:color w:themeColor="text1" w:val="000000"/>
          <w:sz w:val="26"/>
          <w:szCs w:val="26"/>
        </w:rPr>
        <w:t xml:space="preserve"> Федерального закона от 28 декабря 2009 № 381-ФЗ «Об основах государственного регулирования торговой деятельности в Российской Федерации», постановлением Коллегии Администрации Кемеровской области от 30 ноября 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организации и проведения торгов на право заключения договоров на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без предоставления земельных участков и установления публичного сервитута», руководствуясь статьей 43 Устава Осинниковского городского округа Кемеровской области - Кузбасса,</w:t>
      </w:r>
      <w:r>
        <w:rPr>
          <w:rFonts w:cs="Times New Roman" w:ascii="Times New Roman" w:hAnsi="Times New Roman"/>
          <w:bCs/>
          <w:color w:themeColor="text1" w:val="000000"/>
          <w:sz w:val="26"/>
          <w:szCs w:val="26"/>
          <w:shd w:fill="FFFFFF" w:val="clear"/>
        </w:rPr>
        <w:t xml:space="preserve"> </w:t>
      </w:r>
      <w:r>
        <w:rPr>
          <w:rFonts w:cs="Times New Roman" w:ascii="Times New Roman" w:hAnsi="Times New Roman"/>
          <w:color w:themeColor="text1" w:val="000000"/>
          <w:sz w:val="26"/>
          <w:szCs w:val="26"/>
        </w:rPr>
        <w:t>в целях упорядочения нестационарных торговых объектов, расположенных на территории муниципального образования - Осинниковский городской округ:</w:t>
      </w:r>
    </w:p>
    <w:p>
      <w:pPr>
        <w:pStyle w:val="ConsPlusNormal"/>
        <w:spacing w:lineRule="auto" w:line="276"/>
        <w:ind w:hanging="0"/>
        <w:jc w:val="both"/>
        <w:rPr>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1. Утвердить:</w:t>
      </w:r>
    </w:p>
    <w:p>
      <w:pPr>
        <w:pStyle w:val="ConsPlusNormal"/>
        <w:spacing w:lineRule="auto" w:line="276"/>
        <w:ind w:firstLine="540"/>
        <w:jc w:val="both"/>
        <w:rPr/>
      </w:pPr>
      <w:r>
        <w:rPr>
          <w:rFonts w:cs="Times New Roman" w:ascii="Times New Roman" w:hAnsi="Times New Roman"/>
          <w:color w:themeColor="text1" w:val="000000"/>
          <w:sz w:val="26"/>
          <w:szCs w:val="26"/>
        </w:rPr>
        <w:t>1.1.</w:t>
      </w:r>
      <w:hyperlink w:anchor="P34">
        <w:r>
          <w:rPr>
            <w:rStyle w:val="Style9"/>
            <w:rFonts w:cs="Times New Roman" w:ascii="Times New Roman" w:hAnsi="Times New Roman"/>
            <w:color w:themeColor="text1" w:val="000000"/>
            <w:sz w:val="26"/>
            <w:szCs w:val="26"/>
          </w:rPr>
          <w:t>Порядок</w:t>
        </w:r>
      </w:hyperlink>
      <w:r>
        <w:rPr>
          <w:rFonts w:cs="Times New Roman" w:ascii="Times New Roman" w:hAnsi="Times New Roman"/>
          <w:color w:themeColor="text1" w:val="000000"/>
          <w:sz w:val="26"/>
          <w:szCs w:val="26"/>
        </w:rPr>
        <w:t xml:space="preserve"> разработки и утверждения схемы размещения нестационарных торговых объектов на территории Осинниковского городского округа, согласно приложению № 1 к настоящему постановлению.</w:t>
      </w:r>
    </w:p>
    <w:p>
      <w:pPr>
        <w:pStyle w:val="ConsPlusNormal"/>
        <w:spacing w:lineRule="auto" w:line="276"/>
        <w:ind w:firstLine="540"/>
        <w:jc w:val="both"/>
        <w:rPr/>
      </w:pPr>
      <w:r>
        <w:rPr>
          <w:rFonts w:cs="Times New Roman" w:ascii="Times New Roman" w:hAnsi="Times New Roman"/>
          <w:color w:themeColor="text1" w:val="000000"/>
          <w:sz w:val="26"/>
          <w:szCs w:val="26"/>
        </w:rPr>
        <w:t xml:space="preserve">1.2. </w:t>
      </w:r>
      <w:hyperlink w:anchor="P119">
        <w:r>
          <w:rPr>
            <w:rStyle w:val="Style9"/>
            <w:rFonts w:cs="Times New Roman" w:ascii="Times New Roman" w:hAnsi="Times New Roman"/>
            <w:color w:themeColor="text1" w:val="000000"/>
            <w:sz w:val="26"/>
            <w:szCs w:val="26"/>
          </w:rPr>
          <w:t>Порядок</w:t>
        </w:r>
      </w:hyperlink>
      <w:r>
        <w:rPr>
          <w:rFonts w:cs="Times New Roman" w:ascii="Times New Roman" w:hAnsi="Times New Roman"/>
          <w:color w:themeColor="text1" w:val="000000"/>
          <w:sz w:val="26"/>
          <w:szCs w:val="26"/>
        </w:rPr>
        <w:t xml:space="preserve">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внесении в нее изменений, согласно приложению № 2 к настоящему постановлению.</w:t>
      </w:r>
    </w:p>
    <w:p>
      <w:pPr>
        <w:pStyle w:val="ConsPlusNormal"/>
        <w:spacing w:lineRule="auto" w:line="276"/>
        <w:ind w:hanging="0"/>
        <w:jc w:val="both"/>
        <w:rPr>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2. Признать утратившим силу постановление администрации Осинниковского городского округа от 19 ноября 2025г. №1145-нп «Об утверждении порядка разработки и утверждения схемы размещения нестационарных торговых объектов на территории Осинниковского городского округа,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внесение в нее изменений</w:t>
      </w:r>
      <w:r>
        <w:rPr>
          <w:rFonts w:cs="Times New Roman" w:ascii="Times New Roman" w:hAnsi="Times New Roman"/>
          <w:b/>
          <w:color w:themeColor="text1" w:val="000000"/>
          <w:sz w:val="26"/>
          <w:szCs w:val="26"/>
        </w:rPr>
        <w:t>».</w:t>
      </w:r>
    </w:p>
    <w:p>
      <w:pPr>
        <w:pStyle w:val="ConsPlusNormal"/>
        <w:widowControl w:val="false"/>
        <w:tabs>
          <w:tab w:val="clear" w:pos="708"/>
          <w:tab w:val="left" w:pos="510" w:leader="none"/>
          <w:tab w:val="left" w:pos="795" w:leader="none"/>
        </w:tabs>
        <w:suppressAutoHyphens w:val="true"/>
        <w:bidi w:val="0"/>
        <w:spacing w:lineRule="auto" w:line="276" w:before="0" w:after="0"/>
        <w:ind w:hanging="0" w:left="0" w:right="0"/>
        <w:jc w:val="both"/>
        <w:rPr>
          <w:rFonts w:ascii="Times New Roman" w:hAnsi="Times New Roman" w:cs="Times New Roman"/>
          <w:b w:val="false"/>
          <w:bCs w:val="false"/>
          <w:color w:themeColor="text1" w:val="000000"/>
          <w:sz w:val="26"/>
          <w:szCs w:val="26"/>
        </w:rPr>
      </w:pPr>
      <w:r>
        <w:rPr>
          <w:rFonts w:cs="Times New Roman" w:ascii="Times New Roman" w:hAnsi="Times New Roman"/>
          <w:b w:val="false"/>
          <w:bCs w:val="false"/>
          <w:color w:themeColor="text1" w:val="000000"/>
          <w:sz w:val="26"/>
          <w:szCs w:val="26"/>
        </w:rPr>
        <w:t xml:space="preserve">      </w:t>
      </w:r>
      <w:r>
        <w:rPr>
          <w:rFonts w:cs="Times New Roman" w:ascii="Nimbus Roman" w:hAnsi="Nimbus Roman"/>
          <w:b w:val="false"/>
          <w:bCs w:val="false"/>
          <w:color w:themeColor="text1" w:val="000000"/>
          <w:sz w:val="26"/>
          <w:szCs w:val="26"/>
        </w:rPr>
        <w:t xml:space="preserve">3. </w:t>
      </w:r>
      <w:r>
        <w:rPr>
          <w:rFonts w:cs="Nimbus Roman" w:ascii="Nimbus Roman" w:hAnsi="Nimbus Roman"/>
          <w:b w:val="false"/>
          <w:bCs w:val="false"/>
          <w:color w:val="000000"/>
          <w:sz w:val="24"/>
          <w:szCs w:val="24"/>
        </w:rPr>
        <w:t xml:space="preserve">Опубликовать настоящее постановление в газете «Время и жизнь» и </w:t>
      </w:r>
      <w:r>
        <w:rPr>
          <w:rFonts w:cs="Nimbus Roman" w:ascii="Nimbus Roman" w:hAnsi="Nimbus Roman"/>
          <w:b w:val="false"/>
          <w:bCs w:val="false"/>
          <w:color w:val="000000"/>
          <w:sz w:val="24"/>
          <w:szCs w:val="24"/>
        </w:rPr>
        <w:t xml:space="preserve">разместить на сайте органов местного самоуправления </w:t>
      </w:r>
      <w:hyperlink r:id="rId5">
        <w:r>
          <w:rPr>
            <w:rStyle w:val="Hyperlink"/>
            <w:rFonts w:cs="Nimbus Roman" w:ascii="Nimbus Roman" w:hAnsi="Nimbus Roman"/>
            <w:b w:val="false"/>
            <w:bCs w:val="false"/>
            <w:color w:val="000000"/>
            <w:sz w:val="24"/>
            <w:szCs w:val="24"/>
            <w:u w:val="none"/>
          </w:rPr>
          <w:t>http://www.osinniki.org/</w:t>
        </w:r>
      </w:hyperlink>
      <w:r>
        <w:rPr>
          <w:rFonts w:cs="Nimbus Roman" w:ascii="Nimbus Roman" w:hAnsi="Nimbus Roman"/>
          <w:b w:val="false"/>
          <w:bCs w:val="false"/>
          <w:color w:val="000000"/>
          <w:sz w:val="24"/>
          <w:szCs w:val="24"/>
        </w:rPr>
        <w:t xml:space="preserve"> в сети Интернет.</w:t>
      </w:r>
    </w:p>
    <w:p>
      <w:pPr>
        <w:pStyle w:val="Normal"/>
        <w:numPr>
          <w:ilvl w:val="0"/>
          <w:numId w:val="0"/>
        </w:numPr>
        <w:spacing w:lineRule="auto" w:line="276"/>
        <w:ind w:hanging="0" w:left="0"/>
        <w:jc w:val="both"/>
        <w:outlineLvl w:val="0"/>
        <w:rPr>
          <w:sz w:val="26"/>
          <w:szCs w:val="26"/>
        </w:rPr>
      </w:pPr>
      <w:r>
        <w:rPr>
          <w:sz w:val="26"/>
          <w:szCs w:val="26"/>
        </w:rPr>
        <w:t xml:space="preserve">      </w:t>
      </w:r>
      <w:r>
        <w:rPr>
          <w:sz w:val="26"/>
          <w:szCs w:val="26"/>
        </w:rPr>
        <w:t>4</w:t>
      </w:r>
      <w:r>
        <w:rPr>
          <w:sz w:val="26"/>
          <w:szCs w:val="26"/>
        </w:rPr>
        <w:t xml:space="preserve">. Настоящее постановление вступает в силу с 01 сентября 2026г. </w:t>
      </w:r>
    </w:p>
    <w:p>
      <w:pPr>
        <w:pStyle w:val="ConsPlusNormal"/>
        <w:spacing w:lineRule="auto" w:line="276"/>
        <w:ind w:hanging="0"/>
        <w:jc w:val="both"/>
        <w:rPr>
          <w:sz w:val="26"/>
          <w:szCs w:val="26"/>
        </w:rPr>
      </w:pPr>
      <w:r>
        <w:rPr>
          <w:rFonts w:cs="Times New Roman" w:ascii="Times New Roman" w:hAnsi="Times New Roman"/>
          <w:sz w:val="26"/>
          <w:szCs w:val="26"/>
        </w:rPr>
        <w:t xml:space="preserve">    </w:t>
      </w:r>
      <w:r>
        <w:rPr>
          <w:rFonts w:cs="Times New Roman" w:ascii="Times New Roman" w:hAnsi="Times New Roman"/>
          <w:sz w:val="26"/>
          <w:szCs w:val="26"/>
        </w:rPr>
        <w:t>5</w:t>
      </w:r>
      <w:r>
        <w:rPr>
          <w:rFonts w:cs="Times New Roman" w:ascii="Times New Roman" w:hAnsi="Times New Roman"/>
          <w:sz w:val="26"/>
          <w:szCs w:val="26"/>
        </w:rPr>
        <w:t xml:space="preserve">. </w:t>
      </w:r>
      <w:r>
        <w:rPr>
          <w:rFonts w:eastAsia="Times New Roman" w:cs="Times New Roman" w:ascii="Times New Roman" w:hAnsi="Times New Roman"/>
          <w:sz w:val="26"/>
          <w:szCs w:val="26"/>
        </w:rPr>
        <w:t>Контроль за исполнением настоящего постановления возложить на заместителя Главы городского округа по экономике, инвестиционной политике и развитию бизнеса Ю.А. Самарскую</w:t>
      </w:r>
      <w:r>
        <w:rPr>
          <w:rFonts w:cs="Times New Roman" w:ascii="Times New Roman" w:hAnsi="Times New Roman"/>
          <w:sz w:val="26"/>
          <w:szCs w:val="26"/>
        </w:rPr>
        <w:t>, начальника отдела архитектуры и градостроительства К.С. Алябьеву, руководителя МКУ «Комитет по управлению муниципальным имуществом» Осинниковского городского округа О.А. Шевченко.</w:t>
      </w:r>
    </w:p>
    <w:p>
      <w:pPr>
        <w:pStyle w:val="ConsPlusNormal"/>
        <w:spacing w:lineRule="auto" w:line="276"/>
        <w:ind w:firstLine="540"/>
        <w:jc w:val="both"/>
        <w:rPr>
          <w:rFonts w:ascii="Times New Roman" w:hAnsi="Times New Roman" w:cs="Times New Roman"/>
          <w:sz w:val="26"/>
          <w:szCs w:val="26"/>
        </w:rPr>
      </w:pPr>
      <w:r>
        <w:rPr>
          <w:rFonts w:cs="Times New Roman" w:ascii="Times New Roman" w:hAnsi="Times New Roman"/>
          <w:sz w:val="26"/>
          <w:szCs w:val="26"/>
        </w:rPr>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6"/>
          <w:szCs w:val="26"/>
        </w:rPr>
      </w:pPr>
      <w:r>
        <w:rPr>
          <w:sz w:val="26"/>
          <w:szCs w:val="26"/>
        </w:rPr>
      </w:r>
    </w:p>
    <w:p>
      <w:pPr>
        <w:pStyle w:val="Normal"/>
        <w:widowControl/>
        <w:suppressAutoHyphens w:val="true"/>
        <w:bidi w:val="0"/>
        <w:spacing w:lineRule="auto" w:line="240" w:before="0" w:after="0"/>
        <w:ind w:hanging="0" w:left="57" w:right="0"/>
        <w:jc w:val="both"/>
        <w:rPr>
          <w:sz w:val="26"/>
          <w:szCs w:val="26"/>
        </w:rPr>
      </w:pPr>
      <w:r>
        <w:rPr>
          <w:sz w:val="26"/>
          <w:szCs w:val="26"/>
        </w:rPr>
        <w:t>Глава Осинниковского</w:t>
      </w:r>
    </w:p>
    <w:p>
      <w:pPr>
        <w:pStyle w:val="Normal"/>
        <w:widowControl/>
        <w:suppressAutoHyphens w:val="true"/>
        <w:bidi w:val="0"/>
        <w:spacing w:lineRule="auto" w:line="240" w:before="0" w:after="0"/>
        <w:ind w:hanging="0" w:left="57" w:right="0"/>
        <w:jc w:val="both"/>
        <w:rPr>
          <w:sz w:val="26"/>
          <w:szCs w:val="26"/>
        </w:rPr>
      </w:pPr>
      <w:r>
        <w:rPr>
          <w:sz w:val="26"/>
          <w:szCs w:val="26"/>
        </w:rPr>
        <w:t xml:space="preserve">городского округа                                                                                                М.В. Либер                                                                                </w:t>
      </w:r>
    </w:p>
    <w:p>
      <w:pPr>
        <w:pStyle w:val="ConsPlusNormal"/>
        <w:spacing w:lineRule="auto" w:line="276"/>
        <w:ind w:firstLine="540"/>
        <w:jc w:val="both"/>
        <w:rPr>
          <w:rFonts w:ascii="Times New Roman" w:hAnsi="Times New Roman" w:cs="Times New Roman"/>
          <w:sz w:val="26"/>
          <w:szCs w:val="26"/>
        </w:rPr>
      </w:pPr>
      <w:r>
        <w:rPr>
          <w:rFonts w:cs="Times New Roman" w:ascii="Times New Roman" w:hAnsi="Times New Roman"/>
          <w:sz w:val="26"/>
          <w:szCs w:val="26"/>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rPr>
          <w:rFonts w:ascii="Times New Roman" w:hAnsi="Times New Roman" w:cs="Times New Roman"/>
          <w:b w:val="false"/>
          <w:color w:themeColor="text1" w:val="000000"/>
          <w:sz w:val="20"/>
          <w:szCs w:val="20"/>
        </w:rPr>
      </w:pPr>
      <w:r>
        <w:rPr>
          <w:rFonts w:cs="Times New Roman" w:ascii="Times New Roman" w:hAnsi="Times New Roman"/>
          <w:b w:val="false"/>
          <w:color w:themeColor="text1" w:val="000000"/>
          <w:sz w:val="20"/>
          <w:szCs w:val="20"/>
        </w:rPr>
        <w:t>Исп. Зернова Е.Р.</w:t>
      </w:r>
    </w:p>
    <w:p>
      <w:pPr>
        <w:pStyle w:val="ConsPlusTitle"/>
        <w:spacing w:lineRule="auto" w:line="276"/>
        <w:rPr>
          <w:rFonts w:ascii="Times New Roman" w:hAnsi="Times New Roman" w:cs="Times New Roman"/>
          <w:b w:val="false"/>
          <w:color w:themeColor="text1" w:val="000000"/>
          <w:sz w:val="20"/>
          <w:szCs w:val="20"/>
        </w:rPr>
      </w:pPr>
      <w:r>
        <w:rPr>
          <w:rFonts w:cs="Times New Roman" w:ascii="Times New Roman" w:hAnsi="Times New Roman"/>
          <w:b w:val="false"/>
          <w:color w:themeColor="text1" w:val="000000"/>
          <w:sz w:val="20"/>
          <w:szCs w:val="20"/>
        </w:rPr>
        <w:t>Тел. 4-38-00</w:t>
      </w:r>
    </w:p>
    <w:p>
      <w:pPr>
        <w:pStyle w:val="ConsPlusTitle"/>
        <w:spacing w:lineRule="auto" w:line="276"/>
        <w:rPr>
          <w:rFonts w:ascii="Times New Roman" w:hAnsi="Times New Roman" w:cs="Times New Roman"/>
          <w:b w:val="false"/>
          <w:color w:themeColor="text1" w:val="000000"/>
          <w:sz w:val="20"/>
          <w:szCs w:val="20"/>
        </w:rPr>
      </w:pPr>
      <w:r>
        <w:rPr>
          <w:rFonts w:cs="Times New Roman" w:ascii="Times New Roman" w:hAnsi="Times New Roman"/>
          <w:b w:val="false"/>
          <w:color w:themeColor="text1" w:val="000000"/>
          <w:sz w:val="20"/>
          <w:szCs w:val="20"/>
        </w:rPr>
      </w:r>
    </w:p>
    <w:p>
      <w:pPr>
        <w:pStyle w:val="ConsPlusTitle"/>
        <w:spacing w:lineRule="auto" w:line="276"/>
        <w:rPr>
          <w:rFonts w:ascii="Times New Roman" w:hAnsi="Times New Roman" w:cs="Times New Roman"/>
          <w:b w:val="false"/>
          <w:color w:themeColor="text1" w:val="000000"/>
          <w:sz w:val="20"/>
          <w:szCs w:val="20"/>
        </w:rPr>
      </w:pPr>
      <w:r>
        <w:rPr>
          <w:rFonts w:cs="Times New Roman" w:ascii="Times New Roman" w:hAnsi="Times New Roman"/>
          <w:b w:val="false"/>
          <w:color w:themeColor="text1" w:val="000000"/>
          <w:sz w:val="20"/>
          <w:szCs w:val="20"/>
        </w:rPr>
      </w:r>
    </w:p>
    <w:p>
      <w:pPr>
        <w:pStyle w:val="Normal"/>
        <w:ind w:firstLine="5812" w:left="-709"/>
        <w:jc w:val="right"/>
        <w:rPr>
          <w:sz w:val="28"/>
          <w:szCs w:val="28"/>
        </w:rPr>
      </w:pPr>
      <w:r>
        <w:rPr>
          <w:sz w:val="28"/>
          <w:szCs w:val="28"/>
        </w:rPr>
        <w:t>Приложение №1</w:t>
      </w:r>
    </w:p>
    <w:p>
      <w:pPr>
        <w:pStyle w:val="Normal"/>
        <w:ind w:firstLine="5812" w:left="-709"/>
        <w:jc w:val="right"/>
        <w:rPr>
          <w:sz w:val="28"/>
          <w:szCs w:val="28"/>
        </w:rPr>
      </w:pPr>
      <w:r>
        <w:rPr>
          <w:sz w:val="28"/>
          <w:szCs w:val="28"/>
        </w:rPr>
        <w:t xml:space="preserve">к постановлению администрации </w:t>
      </w:r>
    </w:p>
    <w:p>
      <w:pPr>
        <w:pStyle w:val="Normal"/>
        <w:ind w:firstLine="5812" w:left="-709"/>
        <w:jc w:val="right"/>
        <w:rPr>
          <w:sz w:val="28"/>
          <w:szCs w:val="28"/>
        </w:rPr>
      </w:pPr>
      <w:r>
        <w:rPr>
          <w:sz w:val="28"/>
          <w:szCs w:val="28"/>
        </w:rPr>
        <w:t>Осинниковского городского округа</w:t>
      </w:r>
    </w:p>
    <w:p>
      <w:pPr>
        <w:pStyle w:val="Normal"/>
        <w:ind w:firstLine="5812" w:left="-709"/>
        <w:jc w:val="right"/>
        <w:rPr>
          <w:sz w:val="28"/>
          <w:szCs w:val="28"/>
        </w:rPr>
      </w:pPr>
      <w:r>
        <w:rPr>
          <w:sz w:val="28"/>
          <w:szCs w:val="28"/>
        </w:rPr>
        <w:t>От___________________________</w:t>
      </w:r>
    </w:p>
    <w:p>
      <w:pPr>
        <w:pStyle w:val="ConsPlusTitle"/>
        <w:tabs>
          <w:tab w:val="clear" w:pos="708"/>
          <w:tab w:val="left" w:pos="6690" w:leader="none"/>
        </w:tabs>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jc w:val="center"/>
        <w:rPr/>
      </w:pPr>
      <w:r>
        <w:rPr>
          <w:rFonts w:cs="Times New Roman" w:ascii="Times New Roman" w:hAnsi="Times New Roman"/>
          <w:color w:themeColor="text1" w:val="000000"/>
          <w:sz w:val="28"/>
          <w:szCs w:val="28"/>
        </w:rPr>
        <w:t>Порядок разработки и утверждения схемы размещения нестационарных</w:t>
      </w:r>
    </w:p>
    <w:p>
      <w:pPr>
        <w:pStyle w:val="ConsPlusTitle"/>
        <w:spacing w:lineRule="auto" w:line="276"/>
        <w:jc w:val="center"/>
        <w:rPr/>
      </w:pPr>
      <w:r>
        <w:rPr>
          <w:rFonts w:cs="Times New Roman" w:ascii="Times New Roman" w:hAnsi="Times New Roman"/>
          <w:color w:themeColor="text1" w:val="000000"/>
          <w:sz w:val="28"/>
          <w:szCs w:val="28"/>
        </w:rPr>
        <w:t>торговых объектов на территории Осинниковского городского округа</w:t>
      </w:r>
    </w:p>
    <w:p>
      <w:pPr>
        <w:pStyle w:val="ConsPlusNormal"/>
        <w:spacing w:lineRule="auto" w:line="276" w:before="0" w:after="1"/>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rmal"/>
        <w:spacing w:lineRule="auto" w:line="276"/>
        <w:ind w:hanging="0"/>
        <w:jc w:val="both"/>
        <w:rPr>
          <w:rFonts w:ascii="Nimbus Roman" w:hAnsi="Nimbus Roman"/>
        </w:rPr>
      </w:pPr>
      <w:r>
        <w:rPr>
          <w:rFonts w:cs="Times New Roman" w:ascii="Nimbus Roman" w:hAnsi="Nimbus Roman"/>
          <w:sz w:val="28"/>
          <w:szCs w:val="28"/>
        </w:rPr>
        <w:t xml:space="preserve">       </w:t>
      </w:r>
      <w:r>
        <w:rPr>
          <w:rFonts w:cs="Times New Roman" w:ascii="Nimbus Roman" w:hAnsi="Nimbus Roman"/>
          <w:sz w:val="28"/>
          <w:szCs w:val="28"/>
        </w:rPr>
        <w:t>1. Основные понятия:</w:t>
      </w:r>
    </w:p>
    <w:p>
      <w:pPr>
        <w:pStyle w:val="ConsPlusNormal"/>
        <w:spacing w:lineRule="auto" w:line="276"/>
        <w:ind w:firstLine="540"/>
        <w:jc w:val="both"/>
        <w:rPr>
          <w:rFonts w:ascii="Nimbus Roman" w:hAnsi="Nimbus Roman" w:cs="Times New Roman"/>
          <w:sz w:val="28"/>
          <w:szCs w:val="28"/>
        </w:rPr>
      </w:pPr>
      <w:r>
        <w:rPr>
          <w:rFonts w:cs="Times New Roman" w:ascii="Nimbus Roman" w:hAnsi="Nimbus Roman"/>
          <w:sz w:val="28"/>
          <w:szCs w:val="28"/>
        </w:rPr>
        <w:t xml:space="preserve">  </w:t>
      </w:r>
      <w:r>
        <w:rPr>
          <w:rFonts w:cs="Times New Roman" w:ascii="Nimbus Roman" w:hAnsi="Nimbus Roman"/>
          <w:sz w:val="28"/>
          <w:szCs w:val="28"/>
        </w:rPr>
        <w:t>Нестационарный торговый объект — торговый объект, представляющий собой временное соружение, временное строение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либо мобильный торговый объект.</w:t>
      </w:r>
    </w:p>
    <w:p>
      <w:pPr>
        <w:pStyle w:val="ConsPlusNormal"/>
        <w:spacing w:lineRule="auto" w:line="276"/>
        <w:ind w:firstLine="540"/>
        <w:jc w:val="both"/>
        <w:rPr>
          <w:rFonts w:ascii="Nimbus Roman" w:hAnsi="Nimbus Roman"/>
        </w:rPr>
      </w:pPr>
      <w:r>
        <w:rPr>
          <w:rFonts w:cs="Times New Roman" w:ascii="Nimbus Roman" w:hAnsi="Nimbus Roman"/>
          <w:sz w:val="28"/>
          <w:szCs w:val="28"/>
        </w:rPr>
        <w:t xml:space="preserve"> </w:t>
      </w:r>
      <w:r>
        <w:rPr>
          <w:rFonts w:cs="Times New Roman" w:ascii="Nimbus Roman" w:hAnsi="Nimbus Roman"/>
          <w:sz w:val="28"/>
          <w:szCs w:val="28"/>
        </w:rPr>
        <w:t>Мобильный торговый объект - нестационарный торговый объект, представляющий собой транспортное средство, включая механическое транспортное средство или транспортное средство, предназначенное для движения в составе с механическим транспортным средством (в том числе автолавка, автомагазин, автоприцеп, автоцистерна).</w:t>
      </w:r>
    </w:p>
    <w:p>
      <w:pPr>
        <w:pStyle w:val="ConsPlusNormal"/>
        <w:spacing w:lineRule="auto" w:line="276"/>
        <w:ind w:firstLine="540"/>
        <w:jc w:val="both"/>
        <w:rPr>
          <w:rFonts w:ascii="Nimbus Roman" w:hAnsi="Nimbus Roman"/>
        </w:rPr>
      </w:pPr>
      <w:r>
        <w:rPr>
          <w:rFonts w:cs="Times New Roman" w:ascii="Nimbus Roman" w:hAnsi="Nimbus Roman"/>
          <w:sz w:val="28"/>
          <w:szCs w:val="28"/>
        </w:rPr>
        <w:t>2. Требования к торговым мобильным объектам:</w:t>
      </w:r>
    </w:p>
    <w:p>
      <w:pPr>
        <w:pStyle w:val="ConsPlusNormal"/>
        <w:spacing w:lineRule="auto" w:line="276"/>
        <w:ind w:firstLine="540"/>
        <w:jc w:val="both"/>
        <w:rPr>
          <w:rFonts w:ascii="Nimbus Roman" w:hAnsi="Nimbus Roman"/>
        </w:rPr>
      </w:pPr>
      <w:r>
        <w:rPr>
          <w:rFonts w:cs="Times New Roman" w:ascii="Nimbus Roman" w:hAnsi="Nimbus Roman"/>
          <w:sz w:val="28"/>
          <w:szCs w:val="28"/>
        </w:rPr>
        <w:t>- должны иметь действующий техосмотр, регистрацию в ГИБДД и ОСАГО.</w:t>
      </w:r>
    </w:p>
    <w:p>
      <w:pPr>
        <w:pStyle w:val="ConsPlusNormal"/>
        <w:spacing w:lineRule="auto" w:line="276"/>
        <w:ind w:firstLine="540"/>
        <w:jc w:val="both"/>
        <w:rPr>
          <w:rFonts w:ascii="Nimbus Roman" w:hAnsi="Nimbus Roman"/>
        </w:rPr>
      </w:pPr>
      <w:r>
        <w:rPr>
          <w:rFonts w:cs="Times New Roman" w:ascii="Nimbus Roman" w:hAnsi="Nimbus Roman"/>
          <w:sz w:val="28"/>
          <w:szCs w:val="28"/>
        </w:rPr>
        <w:t>- содержаться в технически исправном и надлежащем санитарном состоянии.</w:t>
      </w:r>
    </w:p>
    <w:p>
      <w:pPr>
        <w:pStyle w:val="ConsPlusNormal"/>
        <w:spacing w:lineRule="auto" w:line="276"/>
        <w:ind w:firstLine="540"/>
        <w:jc w:val="both"/>
        <w:rPr>
          <w:rFonts w:ascii="Nimbus Roman" w:hAnsi="Nimbus Roman" w:cs="Times New Roman"/>
          <w:sz w:val="28"/>
          <w:szCs w:val="28"/>
        </w:rPr>
      </w:pPr>
      <w:r>
        <w:rPr>
          <w:rFonts w:cs="Times New Roman" w:ascii="Nimbus Roman" w:hAnsi="Nimbus Roman"/>
          <w:sz w:val="28"/>
          <w:szCs w:val="28"/>
        </w:rPr>
        <w:t>3. Порядок разработки и утверждения схемы размещения нестационарных торговых объектов на территории Осинниковского городского округа (далее - Схема, НТО) определяет процедуру подготовки проекта Схемы, ее согласования и утверждения.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4. Включение объектов в Схему осуществляется в целях:</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4.1. Создания условий для организации, улучшения качества торгового обслуживания населения и повышения доступности товаров для населения.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4.2. Формирования конкурентной среды, обеспечения устойчивого развития территорий.</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4.3. Формирования торговой инфраструктуры с учетом видов и типов торговых объектов, форм и способов торговли.</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4.4. Размещения НТО, используемых субъектами малого или среднего предпринимательства, осуществляющими торговую деятельность и оказывающими услуги.</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4.5. Формирования комфортной городской среды и архитектурно-эстетического облика города.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4.6. Достижения установленных нормативов минимальной обеспеченности населения площадью НТО.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5. В Схему не включаются НТО, расположенные на территории розничных рынков, ярмарок, при проведении культурно-массовых и иных общегородских мероприятий, в стационарных торговых объектах, иных зданиях, строениях, сооружениях или на земельных участках, находящихся в частной собственности, с учетом требований, определенных законодательством Российской Федерации.</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6. Схема состоит из двух разделов: текстового и графического.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6.1. Текстовый раздел Схемы включает в себя: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порядковый номер строки текстового раздела Схемы;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адресные ориентиры размещения НТО;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площадь НТО;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площадь земельного участка, земель или части земельного участка, необходимая для размещения НТО;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тип НТО (павильон, киоск, автомагазин и т.д.);</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специализацию торговли (универсальная торговля и (или) специализированная торговля);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период размещения НТО (для сезонных и временных объектов);</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информацию об использовании НТО субъектами малого или среднего предпринимательства, осуществляющими торговую деятельность.</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6.2. Графический раздел Схемы включает в себя: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ситуационный план с нанесением мест размещения НТО и указанием границ земель или части земельного участка, необходимых для размещения НТО (схема выполняется в масштабе не менее 1:500 с привязкой к светофорам, объектам капитального строительства, включая стационарные торговые объекты, для нестационарных торговых объектов в виде передвижных сооружений или конструкций допускается указание места размещения таких нестационарных торговых объектов в пределах 100 кв. м); порядковый номер строки текстового раздела Схемы.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xml:space="preserve">6.3. Схемой должно предусматриваться размещение не менее чем шестьдесят процентов НТО, используемых субъектами малого или среднего предпринимательства, осуществляющими торговую деятельность, от общего количества НТО. </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xml:space="preserve">6.4. </w:t>
      </w:r>
      <w:r>
        <w:rPr>
          <w:rFonts w:eastAsia="Calibri" w:cs="" w:ascii="Nimbus Roman" w:hAnsi="Nimbus Roman"/>
          <w:sz w:val="28"/>
          <w:szCs w:val="28"/>
        </w:rPr>
        <w:t>Схемой размещения нестационарных торговых объектов может предусматриваться более одного места размещения мобильного торгового объекта. При этом схемой размещения нестационарных торговых объектов устанавливается период времени размещения мобильного торгового объекта в соответствующем месте размещения. Одновременное размещение нескольких мобильных торговых объектов в одном месте размещения не допускается.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6.5. В Схему включаются все размещенные на законных основаниях НТО и НТО, планируемые к размещению.</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Утверждение Схемы, равно как и внесение в нее изменений, не может служить основанием для пересмотра мест размещения НТО, строительство, реконструкция или эксплуатация которых были начаты до утверждения указанной схемы.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6.6. Для разработки проекта схемы администрацией Осинниковского городского округа  создается рабочая группа с привлечением хозяйствующих субъектов, осуществляющих торговую деятельность, некоммерческих организаций, объединяющих таких хозяйствующих субъектов, общественных объединений потребителей (их ассоциаций, союзов).</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Состав рабочей группы и Положение о рабочей группе по рассмотрению предложений о внесении изменений и дополнений в Схему утверждается постановлением администрацией Осинниковского городского округа.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 При включении НТО в схему размещения учитываются требования земельного законодательства, законодательства в области охраны окружающей среды, в области охраны и использования особо охраняемых природных территорий, в области сохранения, использования, популяризации и охраны объектов культурного наследия, в области обеспечения санитарно-эпидемиологического благополучия населения, законодательства о градостроительной деятельности, пожарной безопасности, государственном регулировании производства и оборота этилового спирта, алкогольной и спиртосодержащей продукции и иные предусмотренные законодательством Российской Федерации требования;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 Не допускается включать в Схему следующие места: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7.1.1. При достижении установленных нормативов минимальной обеспеченности населения площадью нестационарных торговых объектов.</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7.1.2. В границах отвода автомобильных дорог (вне остановочных пунктов общественного пассажирского транспорта).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7.1.3. В арках зданий, на газонах, площадках (детских, отдыха, спортивных, транспортных стоянок).</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7.1.4. Ближе 10 м от входов (выходов) в подземные, надземные и наземные переходы.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7.1.5. В пределах треугольников видимости на нерегулируемых перекрестках и примыканиях улиц и дорог.</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7.1.6. Ближе 5 м от внутриквартальных проездов и территорий парковок автотранспорта.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7.1.7. В границах зон с особыми условиями использования,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7.1.8. Дворовые территории.</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7.1.9.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7.1.10. При расстоянии от внутреннего края противопожарного проезда (тротуара) до стены здания или сооружения: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для зданий высотой до 28 метров включительно - 5 - 8 метров;</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для зданий высотой более 28 метров - 8 - 10 метров.</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7.1.11. Иные места, в отношении которых законодательством Российской Федерации предусмотрены запреты или ограничения по размещению НТО.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7.2. Изменения и дополнения в Схему вносятся в следующих случаях:</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7.2.1. По инициативе администрации Осинниковского городского округа (по основаниям, связанным с градостроительной деятельностью - деятельностью по развитию территорий, осуществляемой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7.2.2. При поступлении предложений от федерального органа исполнительной власти или исполнительного органа Кемеровской области - Кузбасса, осуществляющих полномочия собственника имущества.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7.2.3. При поступлении предложений от заинтересованных юридических лиц и индивидуальных предпринимателей,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xml:space="preserve">7.2.4. Рассмотрение предложений о включении мест размещения НТО в Схему и внесении в нее изменений осуществляется в порядке, утвержденном постановлением администрации Осинниковского городского округа. </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При этом срок для принятия решения о включении места размещения нестационарного торгового объекта в схему либо об отказе во включении места размещения нестационарного торгового объекта в схему не должен превышать: 40 рабочих дней со дня поступления предложения – на территории муниципальных образований численностью населения свыше 100 тысяч человек, 20 рабочих дней со дня поступления предложения – на территории муниципальных образований численностью населения менее   100 тысяч человек.</w:t>
      </w:r>
    </w:p>
    <w:p>
      <w:pPr>
        <w:pStyle w:val="ConsPlusNormal"/>
        <w:spacing w:lineRule="auto" w:line="276"/>
        <w:ind w:firstLine="540"/>
        <w:jc w:val="both"/>
        <w:rPr>
          <w:rFonts w:ascii="Times New Roman" w:hAnsi="Times New Roman" w:cs="Times New Roman"/>
          <w:color w:val="22272F"/>
          <w:sz w:val="28"/>
          <w:szCs w:val="28"/>
          <w:shd w:fill="FFFFFF" w:val="clear"/>
        </w:rPr>
      </w:pPr>
      <w:r>
        <w:rPr>
          <w:rFonts w:cs="Times New Roman" w:ascii="Times New Roman" w:hAnsi="Times New Roman"/>
          <w:sz w:val="28"/>
          <w:szCs w:val="28"/>
        </w:rPr>
        <w:t xml:space="preserve">В случаях размещения нестационарных торговых объектов, </w:t>
      </w:r>
      <w:r>
        <w:rPr>
          <w:rFonts w:cs="Times New Roman" w:ascii="Times New Roman" w:hAnsi="Times New Roman"/>
          <w:color w:val="22272F"/>
          <w:sz w:val="28"/>
          <w:szCs w:val="28"/>
          <w:shd w:fill="FFFFFF" w:val="clear"/>
        </w:rPr>
        <w:t xml:space="preserve">расположенных </w:t>
      </w:r>
      <w:r>
        <w:rPr>
          <w:rFonts w:cs="Times New Roman" w:ascii="Times New Roman" w:hAnsi="Times New Roman"/>
          <w:color w:val="000000"/>
          <w:sz w:val="28"/>
          <w:szCs w:val="28"/>
          <w:shd w:fill="FFFFFF" w:val="clear"/>
        </w:rPr>
        <w:t>на земельных участках, в зданиях, строениях и сооружениях, находящихся в государственной собственности (в федеральной собственности или в собственности Кемеровской области - Кузбасса), в схему осуществляется органом местного самоуправления по согласованию с федеральным исполнительным органом или исполнительным органом Кемеровской области - Кузбасса, осуществляющими полномочия собственника имущества, в порядке, установленном Правительством Российской Федерации</w:t>
      </w:r>
      <w:r>
        <w:rPr>
          <w:rFonts w:cs="Times New Roman" w:ascii="Times New Roman" w:hAnsi="Times New Roman"/>
          <w:color w:val="000000"/>
          <w:sz w:val="28"/>
          <w:szCs w:val="28"/>
        </w:rPr>
        <w:t>, орган местного</w:t>
      </w:r>
      <w:r>
        <w:rPr>
          <w:rFonts w:cs="Times New Roman" w:ascii="Times New Roman" w:hAnsi="Times New Roman"/>
          <w:sz w:val="28"/>
          <w:szCs w:val="28"/>
        </w:rPr>
        <w:t xml:space="preserve"> самоуправления вправе принять решение о продлении срока рассмотрения  поступивших предложений на 30 рабочих дней, о чем не позднее 1 рабочего дня, следующего за днем принятия такого решения, уведомляет заявителя.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7.3. Основания исключения места размещения НТО из Схемы: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если место размещения НТО не востребовано хозяйствующими субъектами в течение двенадцати месяцев после включения в Схему и отсутствует договор аренды земельного участка, предоставленного для размещения НТО, или договор на размещение НТО без предоставления земельных участков и установления сервитута, публичного сервитута;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по инициативе контролирующих органов, в случае неоднократного нарушения требований градостроительного, земельного, экологического законодательства, законодательства в сфере санитарно-эпидемиологического благополучия населения и пожарной безопасности, правил благоустройства и иного законодательства на основании документов, подтверждающих данные обстоятельства.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7.4. Исключение мест размещения НТО из Схемы по причинам, связанным с градостроительной деятельностью, осуществляется одновременно с включением или определением в Схеме компенсационного места взамен исключаемого.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Выбор места размещения НТО для включения или определения в Схеме в качестве компенсационного осуществляется органом местного самоуправления в соответствии с положениями, установленными Порядком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Порядком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без предоставления земельных участков и установления скрвитута, публичного сервитута, утвержденных постановлением Коллегии Администрации Кемеровской областиот 30 ноября 2010 № 530, и Порядком рассмотрения предложений о включении мест размещения нестационарных торговых объектов в схему размещения НТО и внесении в нее изменений, утвержденным настоящим постановлением.</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Включение нестационарного торгового объекта, размещенного на земельном участке, находящемся в частной собственности, в схему размещения нестационарных торговых объектов осуществляется органом местного самоуправления на основании заявления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в течение срока проведения эксперимента, установленного Федеральным законом  от 27 ноября 2018 года № 422-ФЗ «О проведении экспериментапо установлению специального  налогового режима «Налог на профессиональный доход», которые намереваются использовать нестационарные торговые объекты для осуществления торговой деятельности (далее — заявление). Заявление должно содержать сведения о месте размещения (местах размещения мобильных торговых объектов, если предполагается использовать более одного места размещения), внешнем виде, назначении, характеристиках и сроках размещения нестационарного торгового объекта, а также может содержать иные сведения, предусмотренные нормативным правовым актом субъекта Российской Феерации, указанным в части 13 статьи 10 Федерального закона от 30 января 2026 г. № 14-ФЗ.</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В случае исключения нестационарных торговых объектов из схемы при прекращении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 торговых объектов рабочей группой проводится внеочередное заседание в целях рассмотрения предложений заинтересованных субъектов малого и среднего предпринимательства, осуществляющих торговую деятельность, с которыми указанные договоры были прекращены, о включении нестационарного торгового объекта в схему.</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7.5. Подготовка проекта Схемы осуществляется на основании:</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рекомендаций рабочей группы;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анализа и характеристики текущего состояния развития инфраструктуры розничной торговли;</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оценки достижения нормативов минимальной обеспеченности населения площадью НТО, обеспечения территориальной доступности торговых объектов для населения;</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 иных информационно-аналитических материалов, характеризующих развитие и потребность территории в НТО.</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7.6. В случае выявления самовольно установленных НТО Комитет по управлению муниципальным имуществом Осинниковского городского округа (далее - КУМИ) осуществляет мероприятия по освобождению земельных участков от незаконно размещенных на них объектов в соответствии с Порядком освобождения земельных участков, находящихся в муниципальной собственности Осинниковского городского округа, и земельных участков на территории Осинниковского городского округа, государственная собственность на которые не разграничена, от незаконно размещенных на них объектов, не являющихся объектами капитального строительства, в том числе осуществления демонтажа и (или) перемещения таких объектов, утвержденным решением Осинниковского  городского Совета народных депутатов.</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7.7. Разработка проекта Схемы включает в себя следующие этапы: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7.7.1. Рассмотрение предложений о включении мест размещения НТО в Схему и внесение в нее изменений на заседании рабочей группы.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7.7.2. Формирование списка адресных ориентиров, соответствующих критериям отбора.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7.7.3. Разработка проекта постановления администрации  Осинниковского городского округа об утверждении Схемы или о внесении изменений в Схему на основании заседания рабочей группы.</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7.7.4. Публичное обсуждение проекта Схемы путем размещения проекта постановления администрации Осинниковского городского округа  об утверждении Схемы или о внесении изменений в Схему на официальном сайте органов местного самоуправления Осинниковского городского округа.</w:t>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ind w:firstLine="540"/>
        <w:jc w:val="both"/>
        <w:rPr>
          <w:rFonts w:ascii="Times New Roman" w:hAnsi="Times New Roman" w:cs="Times New Roman"/>
          <w:sz w:val="28"/>
          <w:szCs w:val="28"/>
        </w:rPr>
      </w:pPr>
      <w:r>
        <w:rPr>
          <w:rFonts w:cs="Times New Roman" w:ascii="Times New Roman" w:hAnsi="Times New Roman"/>
          <w:sz w:val="28"/>
          <w:szCs w:val="28"/>
        </w:rPr>
        <w:t>7.7.5. Утверждение и опубликование постановления администрации Осинниковского городского округа  об утверждении Схемы или о внесении изменений в Схему.</w:t>
      </w:r>
    </w:p>
    <w:p>
      <w:pPr>
        <w:pStyle w:val="ConsPlusNormal"/>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rmal"/>
        <w:spacing w:lineRule="auto" w:line="276"/>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214" w:leader="none"/>
        </w:tabs>
        <w:rPr>
          <w:sz w:val="28"/>
          <w:szCs w:val="28"/>
        </w:rPr>
      </w:pPr>
      <w:r>
        <w:rPr>
          <w:sz w:val="28"/>
          <w:szCs w:val="28"/>
        </w:rPr>
        <w:t>Заместитель Главы  городского округа -</w:t>
      </w:r>
    </w:p>
    <w:p>
      <w:pPr>
        <w:pStyle w:val="ConsPlusNormal"/>
        <w:spacing w:lineRule="auto" w:line="276"/>
        <w:rPr>
          <w:rFonts w:ascii="Times New Roman" w:hAnsi="Times New Roman" w:cs="Times New Roman"/>
          <w:color w:themeColor="text1" w:val="000000"/>
          <w:sz w:val="28"/>
          <w:szCs w:val="28"/>
        </w:rPr>
      </w:pPr>
      <w:r>
        <w:rPr>
          <w:rFonts w:eastAsia="Times New Roman" w:cs="Times New Roman" w:ascii="Times New Roman" w:hAnsi="Times New Roman"/>
          <w:sz w:val="28"/>
          <w:szCs w:val="28"/>
        </w:rPr>
        <w:t>руководитель аппарата                                                                           Л.А. Скрябина</w:t>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r>
    </w:p>
    <w:p>
      <w:pPr>
        <w:pStyle w:val="Normal"/>
        <w:ind w:firstLine="5812" w:left="-709"/>
        <w:jc w:val="right"/>
        <w:rPr>
          <w:sz w:val="28"/>
          <w:szCs w:val="28"/>
        </w:rPr>
      </w:pPr>
      <w:r>
        <w:rPr>
          <w:sz w:val="28"/>
          <w:szCs w:val="28"/>
        </w:rPr>
        <w:t>Приложение № 2</w:t>
      </w:r>
    </w:p>
    <w:p>
      <w:pPr>
        <w:pStyle w:val="Normal"/>
        <w:ind w:firstLine="5812" w:left="-709"/>
        <w:jc w:val="right"/>
        <w:rPr>
          <w:sz w:val="28"/>
          <w:szCs w:val="28"/>
        </w:rPr>
      </w:pPr>
      <w:r>
        <w:rPr>
          <w:sz w:val="28"/>
          <w:szCs w:val="28"/>
        </w:rPr>
        <w:t xml:space="preserve">к постановлению администрации </w:t>
      </w:r>
    </w:p>
    <w:p>
      <w:pPr>
        <w:pStyle w:val="Normal"/>
        <w:ind w:firstLine="5812" w:left="-709"/>
        <w:jc w:val="right"/>
        <w:rPr>
          <w:sz w:val="28"/>
          <w:szCs w:val="28"/>
        </w:rPr>
      </w:pPr>
      <w:r>
        <w:rPr>
          <w:sz w:val="28"/>
          <w:szCs w:val="28"/>
        </w:rPr>
        <w:t>Осинниковского городского округа</w:t>
      </w:r>
    </w:p>
    <w:p>
      <w:pPr>
        <w:pStyle w:val="Normal"/>
        <w:ind w:firstLine="5812" w:left="-709"/>
        <w:jc w:val="right"/>
        <w:rPr>
          <w:sz w:val="28"/>
          <w:szCs w:val="28"/>
        </w:rPr>
      </w:pPr>
      <w:r>
        <w:rPr>
          <w:sz w:val="28"/>
          <w:szCs w:val="28"/>
        </w:rPr>
        <w:t>От___________________________</w:t>
      </w:r>
    </w:p>
    <w:p>
      <w:pPr>
        <w:pStyle w:val="ConsPlusTitle"/>
        <w:spacing w:lineRule="auto" w:line="276"/>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Title"/>
        <w:spacing w:lineRule="auto" w:line="276"/>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Порядок рассмотрения предложений о включении мест размещения</w:t>
      </w:r>
    </w:p>
    <w:p>
      <w:pPr>
        <w:pStyle w:val="ConsPlusTitle"/>
        <w:spacing w:lineRule="auto" w:line="276"/>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нестационарных торговых объектов в схему размещения</w:t>
      </w:r>
    </w:p>
    <w:p>
      <w:pPr>
        <w:pStyle w:val="ConsPlusTitle"/>
        <w:spacing w:lineRule="auto" w:line="276"/>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нестационарных торговых объектов и внесение в нее изменений</w:t>
      </w:r>
    </w:p>
    <w:p>
      <w:pPr>
        <w:pStyle w:val="ConsPlusNormal"/>
        <w:spacing w:lineRule="auto" w:line="276" w:before="0" w:after="1"/>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 Настоящий Порядок определяет процедуру приема, регистрации и рассмотрения предложений о включении мест размещения НТО в Схему и внесении в нее изменений.</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2. Предложения о включении мест размещения НТО в Схему и внесении в нее изменений могут быть направлены федеральным органом исполнительной власти или органом исполнительной власти Кемеровской области - Кузбасса, осуществляющими полномочия собственника имущества, или заинтересованными юридическими лицами и индивидуальными предпринимателями (далее - заявители).</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3. Предложения от заявителей о включении мест размещения НТО в Схему и внесении в нее изменений (далее - предложение) принимаются: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3.1. Отделом по потребительскому рынку и защите прав потребителей  по адресу:</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г. Осинники, ул. Советская, 17  кабинет №64, тел. 4-38-00.</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Режим работы:</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понедельник, среда,  пятница с 08:00 до 10:00;</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суббота, воскресенье - выходной;</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Форма </w:t>
      </w:r>
      <w:hyperlink w:anchor="P237">
        <w:r>
          <w:rPr>
            <w:rStyle w:val="Style9"/>
            <w:rFonts w:cs="Times New Roman" w:ascii="Times New Roman" w:hAnsi="Times New Roman"/>
            <w:color w:themeColor="text1" w:val="000000"/>
            <w:sz w:val="28"/>
            <w:szCs w:val="28"/>
          </w:rPr>
          <w:t>предложения</w:t>
        </w:r>
      </w:hyperlink>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установлена приложением к настоящему Порядку.</w:t>
      </w:r>
    </w:p>
    <w:p>
      <w:pPr>
        <w:pStyle w:val="ConsPlusNormal"/>
        <w:spacing w:lineRule="auto" w:line="276"/>
        <w:ind w:firstLine="540"/>
        <w:jc w:val="both"/>
        <w:rPr>
          <w:rFonts w:ascii="Times New Roman" w:hAnsi="Times New Roman" w:cs="Times New Roman"/>
          <w:color w:themeColor="text1" w:val="000000"/>
          <w:sz w:val="28"/>
          <w:szCs w:val="28"/>
        </w:rPr>
      </w:pPr>
      <w:bookmarkStart w:id="0" w:name="P172"/>
      <w:bookmarkEnd w:id="0"/>
      <w:r>
        <w:rPr>
          <w:rFonts w:cs="Times New Roman" w:ascii="Times New Roman" w:hAnsi="Times New Roman"/>
          <w:color w:themeColor="text1" w:val="000000"/>
          <w:sz w:val="28"/>
          <w:szCs w:val="28"/>
        </w:rPr>
        <w:t>4. К предложению прилагаются следующие документы:</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а) копия документа, удостоверяющего личность, - в случае если предложение подается индивидуальным предпринимателем;</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б) копия документа, удостоверяющего личность представителя заявителя, и документа, подтверждающего полномочия представителя, - в случае, если предложение подается представителем заявителя;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в) ситуационный план земельного участка с указанием координат предполагаемого места размещения НТО (информация с использованием доступных интернет-ресурсов и/или схема расположения земельного участка на кадастровом плане территории).</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5. Заявитель вправе представить следующие документы:</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выписку из Единого государственного реестра недвижимости (ЕГРН) об объекте недвижимости (о земельном участке) - в случае, если планируется использование земельного участка или части земельного участка;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градостроительное заключение о предварительном выборе места размещения НТО на территории Осинниковского городского округа  (далее - градостроительное заключение), выданное управлением архитектуры и градостроительства администрации Осинниковского городского округа.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Непредставление заявителем документов, указанных в настоящем пункте, не является основанием для отказа в приеме предложения.</w:t>
      </w:r>
    </w:p>
    <w:p>
      <w:pPr>
        <w:pStyle w:val="ConsPlusNormal"/>
        <w:spacing w:lineRule="auto" w:line="276"/>
        <w:ind w:firstLine="540"/>
        <w:jc w:val="both"/>
        <w:rPr>
          <w:rFonts w:ascii="Times New Roman" w:hAnsi="Times New Roman" w:cs="Times New Roman"/>
          <w:color w:themeColor="text1" w:val="000000"/>
          <w:sz w:val="28"/>
          <w:szCs w:val="28"/>
        </w:rPr>
      </w:pPr>
      <w:bookmarkStart w:id="1" w:name="P182"/>
      <w:bookmarkEnd w:id="1"/>
      <w:r>
        <w:rPr>
          <w:rFonts w:cs="Times New Roman" w:ascii="Times New Roman" w:hAnsi="Times New Roman"/>
          <w:color w:themeColor="text1" w:val="000000"/>
          <w:sz w:val="28"/>
          <w:szCs w:val="28"/>
        </w:rPr>
        <w:t>6. Основания для отказа в приеме документов:</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а) предложение не содержит сведений, подлежащих указанию в зависимости от статуса заявителя (индивидуальный предприниматель, юридическое лицо);</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б) предложение подано не уполномоченным на это лицом;</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в) предложение не подписано заявителем;</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г) в предложении имеются подчистки либо приписки, зачеркнутые слова и иные исправления;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д) документы заполнены карандашом либо имеют повреждения, не позволяющие однозначно истолковать их содержание;</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е) непредставление заявителем документов, указанных в </w:t>
      </w:r>
      <w:hyperlink w:anchor="P172">
        <w:r>
          <w:rPr>
            <w:rStyle w:val="Style9"/>
            <w:rFonts w:cs="Times New Roman" w:ascii="Times New Roman" w:hAnsi="Times New Roman"/>
            <w:color w:themeColor="text1" w:val="000000"/>
            <w:sz w:val="28"/>
            <w:szCs w:val="28"/>
          </w:rPr>
          <w:t>пункте 4</w:t>
        </w:r>
      </w:hyperlink>
      <w:r>
        <w:rPr>
          <w:rFonts w:cs="Times New Roman" w:ascii="Times New Roman" w:hAnsi="Times New Roman"/>
          <w:color w:themeColor="text1" w:val="000000"/>
          <w:sz w:val="28"/>
          <w:szCs w:val="28"/>
        </w:rPr>
        <w:t xml:space="preserve"> настоящего Порядка.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7. При обращении заявителя специалист отдела по потребительскому рынку и защите прав потребителей </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а)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б) проверяет предоставленные документы на предмет соответствия установленной форме, комплектности документов, правильности оформления;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в) проверяет предоставленные документы на предмет отсутствия или наличия оснований, предусмотренных </w:t>
      </w:r>
      <w:hyperlink w:anchor="P182">
        <w:r>
          <w:rPr>
            <w:rStyle w:val="Style9"/>
            <w:rFonts w:cs="Times New Roman" w:ascii="Times New Roman" w:hAnsi="Times New Roman"/>
            <w:color w:themeColor="text1" w:val="000000"/>
            <w:sz w:val="28"/>
            <w:szCs w:val="28"/>
          </w:rPr>
          <w:t>пунктом 6</w:t>
        </w:r>
      </w:hyperlink>
      <w:r>
        <w:rPr>
          <w:rFonts w:cs="Times New Roman" w:ascii="Times New Roman" w:hAnsi="Times New Roman"/>
          <w:color w:themeColor="text1" w:val="000000"/>
          <w:sz w:val="28"/>
          <w:szCs w:val="28"/>
        </w:rPr>
        <w:t xml:space="preserve"> настоящего Порядка.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При наличии оснований, предусмотренных </w:t>
      </w:r>
      <w:hyperlink w:anchor="P182">
        <w:r>
          <w:rPr>
            <w:rStyle w:val="Style9"/>
            <w:rFonts w:cs="Times New Roman" w:ascii="Times New Roman" w:hAnsi="Times New Roman"/>
            <w:color w:themeColor="text1" w:val="000000"/>
            <w:sz w:val="28"/>
            <w:szCs w:val="28"/>
          </w:rPr>
          <w:t>пунктом 6</w:t>
        </w:r>
      </w:hyperlink>
      <w:r>
        <w:rPr>
          <w:rFonts w:cs="Times New Roman" w:ascii="Times New Roman" w:hAnsi="Times New Roman"/>
          <w:color w:themeColor="text1" w:val="000000"/>
          <w:sz w:val="28"/>
          <w:szCs w:val="28"/>
        </w:rPr>
        <w:t xml:space="preserve"> настоящего Порядка, письменно информирует заявителя об имеющихся основаниях для отказа в приеме документов и осуществляет их возврат заявителю не позднее срока, установленного для рассмотрения такого обращения.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Предложение подлежит обязательной регистрации в течение 3 дней со дня поступления в отдел по потребительскому рынку и защите прав потребителей.</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Отдел по потребительскому рынку и защите прав потребителей  не позднее 5 рабочих дней со дня регистрации предложения, направляют указанное предложение и приложенные к нему документы в управление архитектуры и градостроительства для подготовки градостроительного заключения.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8. Управление архитектуры и градостроительства в течение 10 рабочих дней после получения от отдела по потребительскому рынку и защите прав потребителей предложения и приложенных к нему документов подготавливает градостроительное заключение и не позднее 5 рабочих дней направляет его соответственно в отдел по потребительскому рынку и защите прав потребителей.</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9. В случае направления заявителем предложения с приложением градостроительного заключения: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в  отдел по потребительскому рынку и защите прав потребителей в срок не более 5 рабочих дней формирует сводную информацию для рассмотрения вопроса по внесению изменений в Схему на заседании рабочей группы;</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10. Отдел по потребительскому рынку и защите прав потребителей  осуществляет организационно-техническое обеспечение деятельности рабочей группы. Заседание рабочей группы проводится не позднее 14 дней со дня регистрации предложения.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Состав рабочей группы и Положение о рабочей группе по рассмотрению предложений о внесении изменений и дополнений в Схему утверждается постановлением администрации Осинниковского городского округа.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11. Отдел по потребительскому рынку и защите прав потребителей в течение 5 рабочих дней со дня подписания протокола заседания рабочей группы:</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11.1. Осуществляет подготовку ответа заявителю  течение 2 рабочих дней со дня его подписания.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11.2. Формирует текстовый раздел Схемы из рекомендованных к включению в Схему адресных ориентиров.</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11.3. Направляет текстовый раздел Схемы в отдел архитектуры и градостроительства для подготовки графического раздела Схемы.</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12. Отдел архитектуры и градостроительства в течение 10 рабочих дней со дня регистрации осуществляет подготовку графического раздела Схемы и направляет его в отдел по потребительскому рынку и защите прав потребителей.</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13. В течение 5 рабочих дней со дня поступления в отдел по потребительскому рынку и защите прав потребителей графического раздела Схемы, отдел по потребительскому рынку и защите прав потребителей  направляет текстовый и графический раздел Схемы на согласование в КУМИ (если земельный участок, на котором планируется место размещения НТО относится к муниципальной собственности Осинниковского городского округа).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14. Отдел по потребительскому рынку и защите прав потребителей  в течение 10 рабочих дней на основании согласованных текстовой и графической частей Схемы осуществляет подготовку проекта постановления администрации Осинниковского городского округа о внесении изменений в Схему.</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15. Разработанный и согласованный проект Схемы выносится на обсуждение путем опубликования на официальном сайте органов местного самоуправления Осинниковского городского округа. Срок принятия замечаний и предложений по проекту схемы не может быть менее 10 рабочих дней со дня его опубликования.</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16. Постановление администрации Осинниковского городского округа  об утверждении Схемы или о внесении изменений в Схему подлежит опубликованию в порядке, установленном для официального опубликования нормативных правовых актов администрации Осинниковского городского округа, и размещению на официальном сайте органов местного самоуправления Осинниковского городского округа.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rmal"/>
        <w:spacing w:lineRule="auto" w:line="276"/>
        <w:ind w:firstLine="540"/>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214" w:leader="none"/>
        </w:tabs>
        <w:rPr>
          <w:sz w:val="28"/>
          <w:szCs w:val="28"/>
        </w:rPr>
      </w:pPr>
      <w:r>
        <w:rPr>
          <w:sz w:val="28"/>
          <w:szCs w:val="28"/>
        </w:rPr>
        <w:t>Заместитель Главы  городского округа -</w:t>
      </w:r>
    </w:p>
    <w:p>
      <w:pPr>
        <w:pStyle w:val="ConsPlusNormal"/>
        <w:spacing w:lineRule="auto" w:line="276"/>
        <w:rPr>
          <w:rFonts w:ascii="Times New Roman" w:hAnsi="Times New Roman" w:cs="Times New Roman"/>
          <w:color w:themeColor="text1" w:val="000000"/>
          <w:sz w:val="28"/>
          <w:szCs w:val="28"/>
        </w:rPr>
      </w:pPr>
      <w:r>
        <w:rPr>
          <w:rFonts w:eastAsia="Times New Roman" w:cs="Times New Roman" w:ascii="Times New Roman" w:hAnsi="Times New Roman"/>
          <w:sz w:val="28"/>
          <w:szCs w:val="28"/>
        </w:rPr>
        <w:t>руководитель аппарата                                                                           Л.А. Скрябина</w:t>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rmal"/>
        <w:spacing w:lineRule="auto" w:line="276"/>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hanging="0" w:left="0"/>
        <w:jc w:val="right"/>
        <w:outlineLvl w:val="1"/>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rmal"/>
        <w:numPr>
          <w:ilvl w:val="0"/>
          <w:numId w:val="0"/>
        </w:numPr>
        <w:ind w:hanging="0" w:left="0"/>
        <w:jc w:val="right"/>
        <w:outlineLvl w:val="1"/>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Приложение</w:t>
      </w:r>
    </w:p>
    <w:p>
      <w:pPr>
        <w:pStyle w:val="ConsPlusNormal"/>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 Порядку рассмотрения предложений о включении</w:t>
      </w:r>
    </w:p>
    <w:p>
      <w:pPr>
        <w:pStyle w:val="ConsPlusNormal"/>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мест размещения нестационарных торговых объектов</w:t>
      </w:r>
    </w:p>
    <w:p>
      <w:pPr>
        <w:pStyle w:val="ConsPlusNormal"/>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в схему размещения нестационарных торговых объектов</w:t>
      </w:r>
    </w:p>
    <w:p>
      <w:pPr>
        <w:pStyle w:val="ConsPlusNormal"/>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и внесении в нее изменений</w:t>
      </w:r>
    </w:p>
    <w:p>
      <w:pPr>
        <w:pStyle w:val="ConsPlusNormal"/>
        <w:ind w:firstLine="540"/>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 xml:space="preserve">Заместителю Главы Осинниковского городского </w:t>
      </w:r>
    </w:p>
    <w:p>
      <w:pPr>
        <w:pStyle w:val="ConsPlusNonformat"/>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по экономике, инвестиционной</w:t>
      </w:r>
    </w:p>
    <w:p>
      <w:pPr>
        <w:pStyle w:val="ConsPlusNonformat"/>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политике и развитию бизнеса</w:t>
      </w:r>
    </w:p>
    <w:p>
      <w:pPr>
        <w:pStyle w:val="ConsPlusNonformat"/>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center"/>
        <w:rPr>
          <w:rFonts w:ascii="Times New Roman" w:hAnsi="Times New Roman" w:cs="Times New Roman"/>
          <w:color w:themeColor="text1" w:val="000000"/>
          <w:sz w:val="28"/>
          <w:szCs w:val="28"/>
        </w:rPr>
      </w:pPr>
      <w:bookmarkStart w:id="2" w:name="P194"/>
      <w:bookmarkEnd w:id="2"/>
      <w:r>
        <w:rPr>
          <w:rFonts w:cs="Times New Roman" w:ascii="Times New Roman" w:hAnsi="Times New Roman"/>
          <w:color w:themeColor="text1" w:val="000000"/>
          <w:sz w:val="28"/>
          <w:szCs w:val="28"/>
        </w:rPr>
        <w:t>ПРЕДЛОЖЕНИЕ</w:t>
      </w:r>
    </w:p>
    <w:p>
      <w:pPr>
        <w:pStyle w:val="ConsPlusNonformat"/>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о включении места размещения нестационарного торгового объекта в схему</w:t>
      </w:r>
    </w:p>
    <w:p>
      <w:pPr>
        <w:pStyle w:val="ConsPlusNonformat"/>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размещения нестационарных торговых объектов и внесении в нее изменений</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От ________________________________________________________________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(ФИО, ФИО индивидуального предпринимателя, полное наименование</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юридического лица) (далее - заявитель)</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Адрес (для связи с заявителем):</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индекс ______ город ____________ ул. _________________, д. ____, кв. 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телефон: ____________  адрес электронной почты 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Сведения о государственной регистрации индивидуального предпринимателя:</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ИНН: ____________________, ОГРНИП 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Адрес заявителя - индивидуального предпринимателя (для связи с заявителем):</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индекс ______ город ____________ ул. _________________, д. ____, кв. 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телефон: ____________ адрес электронной почты 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Сведения о государственной регистрации юридического лица:</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ИНН: ______________________, ОГРН 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Место нахождения заявителя - юридического лица (для связи с заявителем):</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индекс ______ город ____________ ул. ________________, д. ____, кв. 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телефон: __________  адрес электронной почты 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ФИО представителя заявителя 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Реквизиты документа, подтверждающего полномочия представителя заявителя:_________________________________________________________.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Прошу включить  в схему размещения НТО  города Осинники торговое место по адресу: _____________ (координаты: 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Характеристика места размещения нестационарного торгового объекта:</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Тип нестационарного торгового объекта: 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(павильон, киоск, автомагазин и т.д.)</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Вид торговли: _____________________________________________________.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(розничная)</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Специализация: ___________________________________________________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(продовольственный/непродовольственный)</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(ассортимент: _____________________________________________________).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Площадь нестационарного торгового объекта __________________ кв. м;</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Площадь земельного участка, необходимая для размещения НТО, ___кв. м;</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Кадастровый номер и местоположение земельного участка 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Кадастровый номер квартала ________________________________________.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Период размещения нестационарного объекта 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(сезонный/постоянный)</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Статус места  размещения нестационарного  торгового объекта (указывается, в</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случае  если  место  размещения  нестационарного торгового объекта является компенсационным) ________________________________________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Заявитель: _______________________________               ________________</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rPr>
        <w:t>(ФИО, наименование организации)                               дата</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 заявлению прилагаются:</w:t>
      </w:r>
    </w:p>
    <w:p>
      <w:pPr>
        <w:pStyle w:val="ConsPlusNormal"/>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W w:w="9071" w:type="dxa"/>
        <w:jc w:val="left"/>
        <w:tblInd w:w="67" w:type="dxa"/>
        <w:tblLayout w:type="fixed"/>
        <w:tblCellMar>
          <w:top w:w="102" w:type="dxa"/>
          <w:left w:w="62" w:type="dxa"/>
          <w:bottom w:w="102" w:type="dxa"/>
          <w:right w:w="62" w:type="dxa"/>
        </w:tblCellMar>
        <w:tblLook w:val="0000"/>
      </w:tblPr>
      <w:tblGrid>
        <w:gridCol w:w="566"/>
        <w:gridCol w:w="5670"/>
        <w:gridCol w:w="1360"/>
        <w:gridCol w:w="1474"/>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N п/п</w:t>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Наименование документа</w:t>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Реквизиты документа</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Количество листов в экземпляре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w:t>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2</w:t>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3</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4</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1</w:t>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Копия документа, удостоверяющего личность</w:t>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2</w:t>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Копия документа, удостоверяющего личность представителя заявителя</w:t>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3</w:t>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Копия документа, подтверждающего полномочия представителя</w:t>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4</w:t>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Ситуационный план земельного участка с нанесением предлагаемого места размещения НТО или границ земель или части земельного участка, необходимого для размещения НТО</w:t>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r>
        <w:trPr/>
        <w:tc>
          <w:tcPr>
            <w:tcW w:w="9070" w:type="dxa"/>
            <w:gridSpan w:val="4"/>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Иные документы</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567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3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c>
      </w:tr>
    </w:tbl>
    <w:p>
      <w:pPr>
        <w:pStyle w:val="ConsPlusNormal"/>
        <w:ind w:firstLine="54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Мною подтверждается:</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представленные  документы  получены в порядке, установленном  действующим</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законодательством;</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сведения,    содержащиеся   в   представленных    документах,    являются</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достоверными.</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Лицо,  предоставившее  заведомо  ложные  сведения или поддельные документы, несет  ответственность  в  соответствии  с  Уголовным  </w:t>
      </w:r>
      <w:hyperlink r:id="rId6">
        <w:r>
          <w:rPr>
            <w:rStyle w:val="Style9"/>
            <w:rFonts w:cs="Times New Roman" w:ascii="Times New Roman" w:hAnsi="Times New Roman"/>
            <w:color w:themeColor="text1" w:val="000000"/>
            <w:sz w:val="28"/>
            <w:szCs w:val="28"/>
          </w:rPr>
          <w:t>кодексом</w:t>
        </w:r>
      </w:hyperlink>
      <w:r>
        <w:rPr>
          <w:rFonts w:cs="Times New Roman" w:ascii="Times New Roman" w:hAnsi="Times New Roman"/>
          <w:color w:themeColor="text1" w:val="000000"/>
          <w:sz w:val="28"/>
          <w:szCs w:val="28"/>
        </w:rPr>
        <w:t xml:space="preserve">  Российской Федерации.</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Я даю  свое  согласие  на  обработку  своих  персональных  данных,  то есть</w:t>
      </w:r>
    </w:p>
    <w:p>
      <w:pPr>
        <w:pStyle w:val="ConsPlusNonformat"/>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совершение,   в  том  числе  следующих  действий:  обработки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7">
        <w:r>
          <w:rPr>
            <w:rStyle w:val="Style9"/>
            <w:rFonts w:cs="Times New Roman" w:ascii="Times New Roman" w:hAnsi="Times New Roman"/>
            <w:color w:themeColor="text1" w:val="000000"/>
            <w:sz w:val="28"/>
            <w:szCs w:val="28"/>
          </w:rPr>
          <w:t>ФЗ</w:t>
        </w:r>
      </w:hyperlink>
      <w:r>
        <w:rPr>
          <w:rFonts w:cs="Times New Roman" w:ascii="Times New Roman" w:hAnsi="Times New Roman"/>
          <w:color w:themeColor="text1" w:val="000000"/>
          <w:sz w:val="28"/>
          <w:szCs w:val="28"/>
        </w:rPr>
        <w:t xml:space="preserve"> № 152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pPr>
        <w:pStyle w:val="ConsPlusNonformat"/>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8"/>
          <w:szCs w:val="28"/>
        </w:rPr>
        <w:t>Заявитель:</w:t>
      </w:r>
      <w:r>
        <w:rPr>
          <w:rFonts w:cs="Times New Roman" w:ascii="Times New Roman" w:hAnsi="Times New Roman"/>
          <w:color w:themeColor="text1" w:val="000000"/>
          <w:sz w:val="24"/>
          <w:szCs w:val="24"/>
        </w:rPr>
        <w:t xml:space="preserve">       _______________________________                ___________</w:t>
      </w:r>
    </w:p>
    <w:p>
      <w:pPr>
        <w:pStyle w:val="ConsPlusNonformat"/>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(ФИО, наименование организации)                 (подпись)   МП</w:t>
      </w:r>
    </w:p>
    <w:p>
      <w:pPr>
        <w:pStyle w:val="ConsPlusNonformat"/>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nformat"/>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«___» __________ 20___ г.</w:t>
      </w:r>
    </w:p>
    <w:p>
      <w:pPr>
        <w:pStyle w:val="ConsPlusNormal"/>
        <w:spacing w:lineRule="auto" w:line="276"/>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jc w:val="both"/>
        <w:rPr>
          <w:rFonts w:ascii="Times New Roman" w:hAnsi="Times New Roman" w:cs="Times New Roman"/>
          <w:sz w:val="28"/>
          <w:szCs w:val="28"/>
        </w:rPr>
      </w:pPr>
      <w:r>
        <w:rPr>
          <w:rFonts w:cs="Times New Roman" w:ascii="Times New Roman" w:hAnsi="Times New Roman"/>
          <w:sz w:val="28"/>
          <w:szCs w:val="28"/>
        </w:rPr>
      </w:r>
    </w:p>
    <w:p>
      <w:pPr>
        <w:pStyle w:val="Normal"/>
        <w:rPr>
          <w:sz w:val="28"/>
          <w:szCs w:val="28"/>
        </w:rPr>
      </w:pPr>
      <w:r>
        <w:rPr>
          <w:sz w:val="28"/>
          <w:szCs w:val="28"/>
        </w:rPr>
      </w:r>
    </w:p>
    <w:p>
      <w:pPr>
        <w:pStyle w:val="Normal"/>
        <w:rPr/>
      </w:pPr>
      <w:r>
        <w:rPr/>
      </w:r>
    </w:p>
    <w:sectPr>
      <w:type w:val="nextPage"/>
      <w:pgSz w:w="11906" w:h="16838"/>
      <w:pgMar w:left="1215" w:right="850" w:gutter="0" w:header="0" w:top="851"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 w:name="Courier New">
    <w:charset w:val="01"/>
    <w:family w:val="roman"/>
    <w:pitch w:val="default"/>
  </w:font>
  <w:font w:name="Nimbus Roman">
    <w:charset w:val="01"/>
    <w:family w:val="auto"/>
    <w:pitch w:val="variable"/>
  </w:font>
  <w:font w:name="Nimbus Roman">
    <w:charset w:val="01"/>
    <w:family w:val="roman"/>
    <w:pitch w:val="default"/>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b5e3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1b5e38"/>
    <w:rPr>
      <w:rFonts w:ascii="Tahoma" w:hAnsi="Tahoma" w:eastAsia="Times New Roman" w:cs="Tahoma"/>
      <w:sz w:val="16"/>
      <w:szCs w:val="16"/>
      <w:lang w:eastAsia="ru-RU"/>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onsPlusNormal" w:customStyle="1">
    <w:name w:val="ConsPlusNormal"/>
    <w:qFormat/>
    <w:rsid w:val="001b5e38"/>
    <w:pPr>
      <w:widowControl w:val="false"/>
      <w:suppressAutoHyphens w:val="true"/>
      <w:bidi w:val="0"/>
      <w:spacing w:lineRule="auto" w:line="240" w:before="0" w:after="0"/>
      <w:jc w:val="left"/>
    </w:pPr>
    <w:rPr>
      <w:rFonts w:ascii="Calibri" w:hAnsi="Calibri" w:eastAsia="" w:cs="Calibri" w:eastAsiaTheme="minorEastAsia"/>
      <w:color w:val="auto"/>
      <w:kern w:val="0"/>
      <w:sz w:val="22"/>
      <w:szCs w:val="22"/>
      <w:lang w:val="ru-RU" w:eastAsia="ru-RU" w:bidi="ar-SA"/>
    </w:rPr>
  </w:style>
  <w:style w:type="paragraph" w:styleId="ConsPlusTitle" w:customStyle="1">
    <w:name w:val="ConsPlusTitle"/>
    <w:qFormat/>
    <w:rsid w:val="001b5e38"/>
    <w:pPr>
      <w:widowControl w:val="false"/>
      <w:suppressAutoHyphens w:val="true"/>
      <w:bidi w:val="0"/>
      <w:spacing w:lineRule="auto" w:line="240" w:before="0" w:after="0"/>
      <w:jc w:val="left"/>
    </w:pPr>
    <w:rPr>
      <w:rFonts w:ascii="Calibri" w:hAnsi="Calibri" w:eastAsia="" w:cs="Calibri" w:eastAsiaTheme="minorEastAsia"/>
      <w:b/>
      <w:color w:val="auto"/>
      <w:kern w:val="0"/>
      <w:sz w:val="22"/>
      <w:szCs w:val="22"/>
      <w:lang w:val="ru-RU" w:eastAsia="ru-RU" w:bidi="ar-SA"/>
    </w:rPr>
  </w:style>
  <w:style w:type="paragraph" w:styleId="ConsPlusNonformat" w:customStyle="1">
    <w:name w:val="ConsPlusNonformat"/>
    <w:qFormat/>
    <w:rsid w:val="001b5e38"/>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2"/>
      <w:lang w:val="ru-RU" w:eastAsia="ru-RU" w:bidi="ar-SA"/>
    </w:rPr>
  </w:style>
  <w:style w:type="paragraph" w:styleId="BalloonText">
    <w:name w:val="Balloon Text"/>
    <w:basedOn w:val="Normal"/>
    <w:link w:val="Style14"/>
    <w:uiPriority w:val="99"/>
    <w:semiHidden/>
    <w:unhideWhenUsed/>
    <w:qFormat/>
    <w:rsid w:val="001b5e38"/>
    <w:pPr/>
    <w:rPr>
      <w:rFonts w:ascii="Tahoma" w:hAnsi="Tahoma" w:cs="Tahoma"/>
      <w:sz w:val="16"/>
      <w:szCs w:val="16"/>
    </w:rPr>
  </w:style>
  <w:style w:type="numbering" w:styleId="Style17"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consultantplus://offline/ref=AEF5F026E2161C76B384539E749C8EF2E3A13C1BE4355E8049623FF6A81E611413E2751F4F54A287D9C1F81448FE4CA3DE37C7A9E977B97125I0J" TargetMode="External"/><Relationship Id="rId4" Type="http://schemas.openxmlformats.org/officeDocument/2006/relationships/hyperlink" Target="consultantplus://offline/ref=AEF5F026E2161C76B384539E749C8EF2E3A0311DE2375E8049623FF6A81E611413E2751F4F55A187D9C1F81448FE4CA3DE37C7A9E977B97125I0J" TargetMode="External"/><Relationship Id="rId5" Type="http://schemas.openxmlformats.org/officeDocument/2006/relationships/hyperlink" Target="http://www.osinniki.org/" TargetMode="External"/><Relationship Id="rId6" Type="http://schemas.openxmlformats.org/officeDocument/2006/relationships/hyperlink" Target="consultantplus://offline/ref=AEF5F026E2161C76B384539E749C8EF2E3A13B12E23A5E8049623FF6A81E611401E22D134F51BF82D6D4AE450E2AI8J" TargetMode="External"/><Relationship Id="rId7" Type="http://schemas.openxmlformats.org/officeDocument/2006/relationships/hyperlink" Target="consultantplus://offline/ref=AEF5F026E2161C76B384539E749C8EF2E3A73119E4335E8049623FF6A81E611401E22D134F51BF82D6D4AE450E2AI8J"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546</TotalTime>
  <Application>LibreOffice/25.2.3.2$Linux_X86_64 LibreOffice_project/520$Build-2</Application>
  <AppVersion>15.0000</AppVersion>
  <Pages>16</Pages>
  <Words>3607</Words>
  <Characters>27548</Characters>
  <CharactersWithSpaces>32004</CharactersWithSpaces>
  <Paragraphs>234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2025-09-22T07:32:00Z</dcterms:created>
  <dc:creator>ТОРГОВЫЙ</dc:creator>
  <dc:description/>
  <dc:language>ru-RU</dc:language>
  <cp:lastModifiedBy/>
  <cp:lastPrinted>2025-09-26T03:50:00Z</cp:lastPrinted>
  <dcterms:modified xsi:type="dcterms:W3CDTF">2026-08-17T15:28:46Z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