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разъяснении</w:t>
      </w:r>
      <w:r>
        <w:rPr>
          <w:rFonts w:ascii="Times New Roman" w:hAnsi="Times New Roman"/>
          <w:b w:val="1"/>
          <w:sz w:val="28"/>
        </w:rPr>
        <w:t xml:space="preserve"> статьи 10.1 Закон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Российской Федерации от 07.02.1992 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2300-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«О защите прав потребителей»</w:t>
      </w:r>
    </w:p>
    <w:p w14:paraId="02000000">
      <w:pPr>
        <w:spacing w:after="0"/>
        <w:ind/>
        <w:jc w:val="center"/>
        <w:rPr>
          <w:rFonts w:ascii="Times New Roman" w:hAnsi="Times New Roman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атья </w:t>
      </w:r>
      <w:r>
        <w:rPr>
          <w:rFonts w:ascii="Times New Roman" w:hAnsi="Times New Roman"/>
          <w:sz w:val="28"/>
        </w:rPr>
        <w:t xml:space="preserve">10.1 Закона Российской Федерации от 07.02.1992 №2300-I «О защите прав потребителей» (далее – Закон </w:t>
      </w:r>
      <w:r>
        <w:rPr>
          <w:rFonts w:ascii="Times New Roman" w:hAnsi="Times New Roman"/>
          <w:sz w:val="28"/>
        </w:rPr>
        <w:t>№ 2300-1</w:t>
      </w:r>
      <w:r>
        <w:rPr>
          <w:rFonts w:ascii="Times New Roman" w:hAnsi="Times New Roman"/>
          <w:sz w:val="28"/>
        </w:rPr>
        <w:t>) введена Федеральным законом от 24.06.2025 №168-ФЗ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начала свое действие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1 марта 2026 года.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 соответствии с пунктом 1 статьи 10.1 Закона № 2300-1 информация, предназначенная для публичного ознакомления потребителей, — это любая информация, расположенная в общедоступных местах и (или) доводимая до сведения неопределенного круга потребителей с использованием различных средств размещения в том числе в случае размещения такой информации с использованием технических приспособлений и других носителей, предназначенных для распространения информации, в частности, в сети «Интернет», при осуществлении торговли, бытового и иных видов обслуживания потребителей.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Такая информация, как правило, размещается изготовителем (исполнителем, продавцом) с использованием вывесок или иных средств размещения информации: надписей, указателей, внешних поверхностей, информационных табличек, информационных знаков, конструкций, сооружений, технических приспособлений и других  носителей,  предназначенных  для  распространения  информации,  за исключением рекламных конструкций; а также посредством сайтов, страниц сайтов в информационно-телекоммуникационной сети «Интернет», которые также являются общедоступными местами.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Информация, предназначенная для публичного ознакомления потребителей, должна быть выполнена на русском языке как государственном языке Российской Федерации, а в случаях, предусмотренных законодательством субъектов Российской Федерации, может быть выполнена также на государственных языках республик и (или) иных языках народов Российской Федерации. При этом информация, предназначенная для публичного ознакомления потребителей и выполненная на государственных языках республик и (или) иных языках народов Российской Федерации, должна быть идентичной по содержанию информации, предназначенной для публичного ознакомления потребителей и выполненной на русском языке как государственном языке Российской Федерации, а также равнозначной по размещению и техническому оформлению в соответствии с частью 2 статьи 3 Федерального закона от 1 июня 2005 г. № 53-ФЗ «О государственном языке Российской Федерации».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усмотрению изготовителя (исполнителя, продавца) информация, предназначенная для публичного ознакомления потребителей, в соответствии с </w:t>
      </w:r>
      <w:r>
        <w:rPr>
          <w:rFonts w:ascii="Times New Roman" w:hAnsi="Times New Roman"/>
          <w:sz w:val="28"/>
        </w:rPr>
        <w:t>частью  2</w:t>
      </w:r>
      <w:r>
        <w:rPr>
          <w:rFonts w:ascii="Times New Roman" w:hAnsi="Times New Roman"/>
          <w:sz w:val="28"/>
        </w:rPr>
        <w:t xml:space="preserve">  статьи  3  Федерального  закона  от  1  июня  2005  г.  </w:t>
      </w:r>
      <w:r>
        <w:rPr>
          <w:rFonts w:ascii="Times New Roman" w:hAnsi="Times New Roman"/>
          <w:sz w:val="28"/>
        </w:rPr>
        <w:t>№  53</w:t>
      </w:r>
      <w:r>
        <w:rPr>
          <w:rFonts w:ascii="Times New Roman" w:hAnsi="Times New Roman"/>
          <w:sz w:val="28"/>
        </w:rPr>
        <w:t>-ФЗ «О государственном языке Российской Федерации» может быть выполнена также на иностранных языках.</w:t>
      </w:r>
    </w:p>
    <w:p w14:paraId="08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дублировании на иностранном языке важно:</w:t>
      </w:r>
    </w:p>
    <w:p w14:paraId="09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Тексты на русском и иностранном языке должны строго соответствовать друг другу. Например, вывеска </w:t>
      </w:r>
      <w:r>
        <w:rPr>
          <w:rFonts w:ascii="Times New Roman" w:hAnsi="Times New Roman"/>
          <w:i w:val="1"/>
          <w:sz w:val="28"/>
        </w:rPr>
        <w:t>Beauty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Studio</w:t>
      </w:r>
      <w:r>
        <w:rPr>
          <w:rFonts w:ascii="Times New Roman" w:hAnsi="Times New Roman"/>
          <w:i w:val="1"/>
          <w:sz w:val="28"/>
        </w:rPr>
        <w:t xml:space="preserve"> и </w:t>
      </w:r>
      <w:r>
        <w:rPr>
          <w:rFonts w:ascii="Times New Roman" w:hAnsi="Times New Roman"/>
          <w:i w:val="1"/>
          <w:sz w:val="28"/>
        </w:rPr>
        <w:t>Бьюти</w:t>
      </w:r>
      <w:r>
        <w:rPr>
          <w:rFonts w:ascii="Times New Roman" w:hAnsi="Times New Roman"/>
          <w:i w:val="1"/>
          <w:sz w:val="28"/>
        </w:rPr>
        <w:t xml:space="preserve"> Студия не соответствуют по содержанию. При дублировании правильно будет указать «Студия Красоты».</w:t>
      </w:r>
    </w:p>
    <w:p w14:paraId="0A000000">
      <w:pPr>
        <w:spacing w:after="0" w:line="100" w:lineRule="atLeast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Пример оформления вывески при оформлении на английском</w:t>
      </w:r>
    </w:p>
    <w:p w14:paraId="0B000000">
      <w:pPr>
        <w:spacing w:after="0" w:line="100" w:lineRule="atLeast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и русском языке</w:t>
      </w:r>
    </w:p>
    <w:p w14:paraId="0C000000">
      <w:pPr>
        <w:spacing w:after="0" w:line="100" w:lineRule="atLeast"/>
        <w:ind w:firstLine="567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Layout w:type="fixed"/>
      </w:tblPr>
      <w:tblGrid>
        <w:gridCol w:w="2926"/>
        <w:gridCol w:w="2926"/>
        <w:gridCol w:w="2926"/>
      </w:tblGrid>
      <w:tr>
        <w:tc>
          <w:tcPr>
            <w:tcW w:type="dxa" w:w="2926"/>
          </w:tcPr>
          <w:p w14:paraId="0D000000">
            <w:pPr>
              <w:spacing w:line="100" w:lineRule="atLeas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Вариант</w:t>
            </w:r>
          </w:p>
        </w:tc>
        <w:tc>
          <w:tcPr>
            <w:tcW w:type="dxa" w:w="2926"/>
          </w:tcPr>
          <w:p w14:paraId="0E000000">
            <w:pPr>
              <w:spacing w:line="100" w:lineRule="atLeas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Корректность</w:t>
            </w:r>
          </w:p>
        </w:tc>
        <w:tc>
          <w:tcPr>
            <w:tcW w:type="dxa" w:w="2926"/>
          </w:tcPr>
          <w:p w14:paraId="0F000000">
            <w:pPr>
              <w:spacing w:line="100" w:lineRule="atLeas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Причина</w:t>
            </w:r>
          </w:p>
        </w:tc>
      </w:tr>
      <w:tr>
        <w:tc>
          <w:tcPr>
            <w:tcW w:type="dxa" w:w="2926"/>
          </w:tcPr>
          <w:p w14:paraId="10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Ногтевая студия / Nai1 </w:t>
            </w:r>
            <w:r>
              <w:rPr>
                <w:sz w:val="28"/>
              </w:rPr>
              <w:t>Studio</w:t>
            </w:r>
            <w:r>
              <w:rPr>
                <w:sz w:val="28"/>
              </w:rPr>
              <w:tab/>
            </w:r>
          </w:p>
        </w:tc>
        <w:tc>
          <w:tcPr>
            <w:tcW w:type="dxa" w:w="2926"/>
          </w:tcPr>
          <w:p w14:paraId="11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корректно</w:t>
            </w:r>
          </w:p>
        </w:tc>
        <w:tc>
          <w:tcPr>
            <w:tcW w:type="dxa" w:w="2926"/>
          </w:tcPr>
          <w:p w14:paraId="12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русский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текст</w:t>
            </w:r>
          </w:p>
          <w:p w14:paraId="13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на первом месте,</w:t>
            </w:r>
          </w:p>
          <w:p w14:paraId="14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смысл текста совпадает,</w:t>
            </w:r>
          </w:p>
          <w:p w14:paraId="15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шрифт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 читаемость одинаковые</w:t>
            </w:r>
          </w:p>
        </w:tc>
      </w:tr>
      <w:tr>
        <w:tc>
          <w:tcPr>
            <w:tcW w:type="dxa" w:w="2926"/>
          </w:tcPr>
          <w:p w14:paraId="16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Nai1 </w:t>
            </w:r>
            <w:r>
              <w:rPr>
                <w:sz w:val="28"/>
              </w:rPr>
              <w:t>Studio</w:t>
            </w:r>
            <w:r>
              <w:rPr>
                <w:sz w:val="28"/>
              </w:rPr>
              <w:t xml:space="preserve"> / Ногтевая</w:t>
            </w:r>
          </w:p>
          <w:p w14:paraId="17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студия</w:t>
            </w:r>
          </w:p>
        </w:tc>
        <w:tc>
          <w:tcPr>
            <w:tcW w:type="dxa" w:w="2926"/>
          </w:tcPr>
          <w:p w14:paraId="18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некорректно</w:t>
            </w:r>
          </w:p>
        </w:tc>
        <w:tc>
          <w:tcPr>
            <w:tcW w:type="dxa" w:w="2926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- русский текст идет вторым</w:t>
            </w:r>
          </w:p>
        </w:tc>
      </w:tr>
      <w:tr>
        <w:tc>
          <w:tcPr>
            <w:tcW w:type="dxa" w:w="2926"/>
          </w:tcPr>
          <w:p w14:paraId="1A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Ногтевая студия —</w:t>
            </w:r>
          </w:p>
          <w:p w14:paraId="1B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NAIL STUDIO</w:t>
            </w:r>
          </w:p>
        </w:tc>
        <w:tc>
          <w:tcPr>
            <w:tcW w:type="dxa" w:w="2926"/>
          </w:tcPr>
          <w:p w14:paraId="1C000000">
            <w:pPr>
              <w:spacing w:line="10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некорректно</w:t>
            </w:r>
          </w:p>
        </w:tc>
        <w:tc>
          <w:tcPr>
            <w:tcW w:type="dxa" w:w="2926"/>
          </w:tcPr>
          <w:p w14:paraId="1D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- шрифт английского</w:t>
            </w:r>
          </w:p>
          <w:p w14:paraId="1E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текста крупнее</w:t>
            </w:r>
          </w:p>
          <w:p w14:paraId="1F000000">
            <w:pPr>
              <w:spacing w:line="100" w:lineRule="atLeast"/>
              <w:ind/>
              <w:rPr>
                <w:sz w:val="28"/>
              </w:rPr>
            </w:pPr>
            <w:r>
              <w:rPr>
                <w:sz w:val="28"/>
              </w:rPr>
              <w:t>и заметнее</w:t>
            </w:r>
          </w:p>
          <w:p w14:paraId="20000000">
            <w:pPr>
              <w:spacing w:line="100" w:lineRule="atLeast"/>
              <w:ind/>
              <w:rPr>
                <w:sz w:val="28"/>
              </w:rPr>
            </w:pPr>
          </w:p>
        </w:tc>
      </w:tr>
    </w:tbl>
    <w:p w14:paraId="21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</w:p>
    <w:p w14:paraId="22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названные положения не касаются рекламы и информации, указанной в статьях 8, 9 и 10 Закона № 2300-1, так как вопрос о доведении той информации, о которой в них говорится (это, прежде всего, — информация о товарах (работах, услугах), доводимая в порядке, предусмотренном статьей 10 Закона № 2300-1, на русском языке, уже разрешен в статье 8 Закона № 2300-1.</w:t>
      </w:r>
    </w:p>
    <w:p w14:paraId="23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согласно пункту 4 ст. 10.1 Закона № 2330-1 ее положения не применяются к случаям использования фирменных наименований, товарных знаков, знаков обслуживания, а также к другим случаям, предусмотренным федеральными законами, иными нормативными правовыми актами Российской Федерации, требованиями технических регламентов в соответствии с Федеральным законом от 27.12.2002 № 184-ФЗ «О техническом регулирования», актами, составляющими право Евразийского экономического союза, поскольку данные наименования являются самостоятельными объектами гражданских прав.</w:t>
      </w:r>
    </w:p>
    <w:p w14:paraId="24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Таким образом, на иностранном языке без перевода можно оставить вывески, </w:t>
      </w:r>
      <w:r>
        <w:rPr>
          <w:rFonts w:ascii="Times New Roman" w:hAnsi="Times New Roman"/>
          <w:i w:val="1"/>
          <w:sz w:val="28"/>
        </w:rPr>
        <w:t>иностранные  слова</w:t>
      </w:r>
      <w:r>
        <w:rPr>
          <w:rFonts w:ascii="Times New Roman" w:hAnsi="Times New Roman"/>
          <w:i w:val="1"/>
          <w:sz w:val="28"/>
        </w:rPr>
        <w:t xml:space="preserve">  которых  являются:</w:t>
      </w:r>
    </w:p>
    <w:p w14:paraId="25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—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>зарегистрированными товарными знаками / знаками обслуживания — брендами (статья   1477   Гражданского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>кодекса  РФ</w:t>
      </w:r>
      <w:r>
        <w:rPr>
          <w:rFonts w:ascii="Times New Roman" w:hAnsi="Times New Roman"/>
          <w:i w:val="1"/>
          <w:sz w:val="28"/>
        </w:rPr>
        <w:t xml:space="preserve">). Например, </w:t>
      </w:r>
      <w:r>
        <w:rPr>
          <w:rFonts w:ascii="Times New Roman" w:hAnsi="Times New Roman"/>
          <w:i w:val="1"/>
          <w:sz w:val="28"/>
        </w:rPr>
        <w:t>Wildberries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Nike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Bosch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Ozon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Beeline</w:t>
      </w:r>
      <w:r>
        <w:rPr>
          <w:rFonts w:ascii="Times New Roman" w:hAnsi="Times New Roman"/>
          <w:i w:val="1"/>
          <w:sz w:val="28"/>
        </w:rPr>
        <w:t xml:space="preserve"> и др.;</w:t>
      </w:r>
    </w:p>
    <w:p w14:paraId="26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—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 xml:space="preserve">фирменными наименованиями, зарегистрированными в установленном порядке в </w:t>
      </w:r>
      <w:r>
        <w:rPr>
          <w:rFonts w:ascii="Times New Roman" w:hAnsi="Times New Roman"/>
          <w:i w:val="1"/>
          <w:sz w:val="28"/>
        </w:rPr>
        <w:t>Едином  государственном</w:t>
      </w:r>
      <w:r>
        <w:rPr>
          <w:rFonts w:ascii="Times New Roman" w:hAnsi="Times New Roman"/>
          <w:i w:val="1"/>
          <w:sz w:val="28"/>
        </w:rPr>
        <w:t xml:space="preserve">  реестре  юридических  лиц.  </w:t>
      </w:r>
      <w:r>
        <w:rPr>
          <w:rFonts w:ascii="Times New Roman" w:hAnsi="Times New Roman"/>
          <w:i w:val="1"/>
          <w:sz w:val="28"/>
        </w:rPr>
        <w:t>Вариант  не</w:t>
      </w:r>
      <w:r>
        <w:rPr>
          <w:rFonts w:ascii="Times New Roman" w:hAnsi="Times New Roman"/>
          <w:i w:val="1"/>
          <w:sz w:val="28"/>
        </w:rPr>
        <w:t xml:space="preserve"> подходит для индивидуального предпринимателя, так как фирменное наименование может зарегистрировать только организация (юридическое лицо).</w:t>
      </w:r>
    </w:p>
    <w:p w14:paraId="27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Бренды на вывесках могут использовать их собственники (владельцы зарегистрированного товарного знака / знака обслуживания) и законные пользователи (</w:t>
      </w:r>
      <w:r>
        <w:rPr>
          <w:rFonts w:ascii="Times New Roman" w:hAnsi="Times New Roman"/>
          <w:sz w:val="28"/>
        </w:rPr>
        <w:t>пункты  выдачи</w:t>
      </w:r>
      <w:r>
        <w:rPr>
          <w:rFonts w:ascii="Times New Roman" w:hAnsi="Times New Roman"/>
          <w:sz w:val="28"/>
        </w:rPr>
        <w:t xml:space="preserve">  заказов  </w:t>
      </w:r>
      <w:r>
        <w:rPr>
          <w:rFonts w:ascii="Times New Roman" w:hAnsi="Times New Roman"/>
          <w:sz w:val="28"/>
        </w:rPr>
        <w:t>Wildberries</w:t>
      </w:r>
      <w:r>
        <w:rPr>
          <w:rFonts w:ascii="Times New Roman" w:hAnsi="Times New Roman"/>
          <w:sz w:val="28"/>
        </w:rPr>
        <w:t xml:space="preserve">  /  </w:t>
      </w:r>
      <w:r>
        <w:rPr>
          <w:rFonts w:ascii="Times New Roman" w:hAnsi="Times New Roman"/>
          <w:sz w:val="28"/>
        </w:rPr>
        <w:t>Ozon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</w:rPr>
        <w:t>франчайзи</w:t>
      </w:r>
      <w:r>
        <w:rPr>
          <w:rFonts w:ascii="Times New Roman" w:hAnsi="Times New Roman"/>
          <w:sz w:val="28"/>
        </w:rPr>
        <w:t>,  пользователи по лицензионному договору и др.).</w:t>
      </w:r>
    </w:p>
    <w:p w14:paraId="28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Фирменное наименование на иностранном языке может использовать только сама организация-владелец, передача иным лицам недопустима.</w:t>
      </w:r>
    </w:p>
    <w:p w14:paraId="29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так как все вышеизложенное касается исключительно информации, предназначенной для потребителей, обязанности по соблюдению требований к предоставлению которой в рассматриваемом аспекте должны соблюдать лица, поименованные в статьях 8—10, 10.1 Закона № 2300-1, то следует исходить из того, что определения всех контрагентов потребителей — участников соответствующих правоотношений даны в преамбуле Закона № 2300-1, а субъектный состав лиц, обязанных соблюдать требования статьи 10.1, ограничен изготовителем (исполнителем, продавцом), которые и будут являться контролируемыми лицами в рамках осуществления федерального государственного контроля (надзора) в области защиты прав потребителей.</w:t>
      </w:r>
    </w:p>
    <w:p w14:paraId="2A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Применительно к ограничению массовой практики использования в публичном пространстве и общественной среде иностранных (заимствованных) слов и всякого рода «англицизмов» обращаем внимание, что регулирование, предусмотренное статьей 10.1 Закона № 2300-1, направлено на предоставление возможности потребителю ознакомиться с информацией без словаря, переводчика, знания иностранных языков.</w:t>
      </w:r>
    </w:p>
    <w:p w14:paraId="2B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Справочно</w:t>
      </w:r>
      <w:r>
        <w:rPr>
          <w:rFonts w:ascii="Times New Roman" w:hAnsi="Times New Roman"/>
          <w:i w:val="1"/>
          <w:sz w:val="28"/>
        </w:rPr>
        <w:t>.</w:t>
      </w:r>
    </w:p>
    <w:p w14:paraId="2C000000">
      <w:pPr>
        <w:spacing w:after="0" w:line="240" w:lineRule="auto"/>
        <w:ind w:firstLine="567" w:left="-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Примеры англицизмов: </w:t>
      </w:r>
      <w:r>
        <w:rPr>
          <w:rFonts w:ascii="Times New Roman" w:hAnsi="Times New Roman"/>
          <w:i w:val="1"/>
          <w:sz w:val="28"/>
        </w:rPr>
        <w:t>кешбэк</w:t>
      </w:r>
      <w:r>
        <w:rPr>
          <w:rFonts w:ascii="Times New Roman" w:hAnsi="Times New Roman"/>
          <w:i w:val="1"/>
          <w:sz w:val="28"/>
        </w:rPr>
        <w:t xml:space="preserve">, шопинг, </w:t>
      </w:r>
      <w:r>
        <w:rPr>
          <w:rFonts w:ascii="Times New Roman" w:hAnsi="Times New Roman"/>
          <w:i w:val="1"/>
          <w:sz w:val="28"/>
        </w:rPr>
        <w:t>лайфхак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свайп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хайп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донат</w:t>
      </w:r>
      <w:r>
        <w:rPr>
          <w:rFonts w:ascii="Times New Roman" w:hAnsi="Times New Roman"/>
          <w:i w:val="1"/>
          <w:sz w:val="28"/>
        </w:rPr>
        <w:t xml:space="preserve">, блог, </w:t>
      </w:r>
      <w:r>
        <w:rPr>
          <w:rFonts w:ascii="Times New Roman" w:hAnsi="Times New Roman"/>
          <w:i w:val="1"/>
          <w:sz w:val="28"/>
        </w:rPr>
        <w:t>нетворкинг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окей</w:t>
      </w:r>
      <w:r>
        <w:rPr>
          <w:rFonts w:ascii="Times New Roman" w:hAnsi="Times New Roman"/>
          <w:i w:val="1"/>
          <w:sz w:val="28"/>
        </w:rPr>
        <w:t xml:space="preserve"> и др.</w:t>
      </w:r>
    </w:p>
    <w:p w14:paraId="2D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информации,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предназначенной для потребителей, хозяйствующие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субъекты обязаны использовать государственный русский язык.</w:t>
      </w:r>
    </w:p>
    <w:p w14:paraId="2E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 этом</w:t>
      </w:r>
      <w:r>
        <w:rPr>
          <w:rFonts w:ascii="Times New Roman" w:hAnsi="Times New Roman"/>
          <w:sz w:val="28"/>
        </w:rPr>
        <w:t xml:space="preserve">  важно  учитывать,  что  не все  англицизмы  можно  отнести к государственному русскому языку, а только те, которые содержатся в Словаре иностранных слов (разработчик — ФГБУ науки Институт лингвистических исследований  РАН)  (распоряжение  Правительства  Российской  Федерации от 30 апреля 2025 г. № 1102-p).</w:t>
      </w:r>
    </w:p>
    <w:p w14:paraId="2F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обнаружении после 01.03.2026 информации, предназначенной для публичного ознакомления потребителей, не соответствующей требованиям ст.10.1 Закона </w:t>
      </w:r>
      <w:r>
        <w:rPr>
          <w:rFonts w:ascii="Times New Roman" w:hAnsi="Times New Roman"/>
          <w:sz w:val="28"/>
        </w:rPr>
        <w:t>№ 2300-1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могут быть приняты меры </w:t>
      </w:r>
      <w:r>
        <w:rPr>
          <w:rFonts w:ascii="Times New Roman" w:hAnsi="Times New Roman"/>
          <w:sz w:val="28"/>
        </w:rPr>
        <w:t xml:space="preserve">административного и гражданско-правового </w:t>
      </w:r>
      <w:r>
        <w:rPr>
          <w:rFonts w:ascii="Times New Roman" w:hAnsi="Times New Roman"/>
          <w:sz w:val="28"/>
        </w:rPr>
        <w:t xml:space="preserve">характера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виде обращения в судебные органы</w:t>
      </w:r>
      <w:r>
        <w:rPr>
          <w:rFonts w:ascii="Times New Roman" w:hAnsi="Times New Roman"/>
          <w:sz w:val="28"/>
        </w:rPr>
        <w:t>.</w:t>
      </w:r>
    </w:p>
    <w:p w14:paraId="30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822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2026-07-09T09:16:58Z</dcterms:modified>
</cp:coreProperties>
</file>