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right="2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Перечень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  <w:t>документов, отражающих выполнение требований по обеспечению готовности к отопительному периоду для оценки готовности потребителей тепловой энергии (многоквартирные дома и объекты социальной сферы)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(в соответствии с </w:t>
      </w:r>
      <w:r>
        <w:rPr>
          <w:rFonts w:ascii="Times New Roman" w:hAnsi="Times New Roman"/>
          <w:sz w:val="28"/>
          <w:szCs w:val="28"/>
          <w:lang w:eastAsia="ru-RU"/>
        </w:rPr>
        <w:t>Приложением № 1к приказу Минэнерго России</w:t>
      </w:r>
    </w:p>
    <w:p>
      <w:pPr>
        <w:pStyle w:val="Normal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от 13.11.2024 г. № 2234)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2"/>
        <w:gridCol w:w="3450"/>
        <w:gridCol w:w="5469"/>
      </w:tblGrid>
      <w:tr>
        <w:trPr>
          <w:trHeight w:val="732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240" w:after="160"/>
              <w:contextualSpacing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п/п</w:t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Критерий оценки готовности к отопительному периоду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Проверяемые документы</w:t>
            </w:r>
          </w:p>
        </w:tc>
      </w:tr>
      <w:tr>
        <w:trPr>
          <w:trHeight w:val="1936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3"/>
              </w:numPr>
              <w:spacing w:lineRule="auto" w:line="240" w:before="240" w:after="0"/>
              <w:ind w:hanging="0" w:left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эксплуатации теплопотребляющих установок в соответствии с требованиями безопасности в сфере теплоснабжения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1. Акт промывки теплопотребляющей установки.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>Пояснение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: Документ, в котором фиксируется проведение промывки оборудования и внутренних систем теплопотребления (если 2 ИТП должно быть 2 акта (и более) - в соответствии с количеством тепловых узлов). Составляется ЕТО.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>Подписи представителей.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В акте указывают должности, подписи и ФИО представителей организации-потребителя, организации-производителя работ и энергоснабжающей организации.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i/>
                <w:sz w:val="24"/>
                <w:szCs w:val="24"/>
              </w:rPr>
              <w:t>Подпись представителя ЕТО – обязательна.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2. Акт о проведении наладки режимов потребления тепловой энергии и (или) теплоносителя.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>Пояснение: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В акте указывается, что комиссия провела проверку наладки режимов потребления тепловой энергии и теплоносителя, в том числе тепловых и гидравлических режимов, оборудования теплового пункта (узла) и внутренних отопительных систем объекта.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«Главный» акт для определения готовности (содержит отсутствие/наличие задолженности перед ЕТО) - </w:t>
            </w:r>
            <w:r>
              <w:rPr>
                <w:rFonts w:eastAsia="Times New Roman" w:ascii="Times New Roman" w:hAnsi="Times New Roman"/>
                <w:b/>
                <w:i/>
                <w:sz w:val="24"/>
                <w:szCs w:val="24"/>
              </w:rPr>
              <w:t>Подпись представителя ЕТО – обязательна.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3.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Акт проверки (осмотра) запорной арматуры и арматуры постоянного регулирования.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>Пояснение: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Указывается, пригодна ли запорная арматура для дальнейшей эксплуатации и арматура постоянного регулирования.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>Важно: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Состав комиссии - указываются представители организаций, которые входили в комиссию.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Первую колонку заполняет организация самостоятельно. В акте только подпись представителей УК/ТСЖ/ организации.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4. Документы организации о назначении ответственных лиц за безопасную эксплуатацию тепловых энергоустановок.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Копия удостоверения ответственного лица, обученного ПТЭ ТЭ.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Пояснение: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Договор на обслуживание с УК (аварийная служба)+Удостоверения не менее 2-х лиц+Приказ о назначении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аттестованных лиц (штатное расписание).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5.  Акт о проведении испытаний на плотность и прочность (гидравлических испытаний) тепловых энергоустановок, включая трубопроводы тепловых сетей (при наличии) и участков тепловых вводов.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 xml:space="preserve">Пояснение: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Это</w:t>
            </w: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 xml:space="preserve"> Акт промывки теплопотребляющей установки,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либо</w:t>
            </w: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 xml:space="preserve"> Акт выполнения работ по подготовки к ОЗП 2026-2027гг. (где прописано: Ревизия ИТП-выполнено).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6. Утвержденные в соответствии с требованиями пункта 2.2 Правил технической эксплуатации тепловых энергоустановок эксплуатационные инструкции объектов теплоснабжения и (или) производственные инструкции.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 xml:space="preserve">Пояснение: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Производственная Инструкция по  эксплуатации теплопотребляющих энергоустановок и тепловых сетей.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 xml:space="preserve">Важно: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Действует</w:t>
            </w: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Приказ от 14 мая 2025 г. № 511 «Об утверждении правил технической эксплуатации объектов теплоснабжения и теплопотребляющих установок». Приказ Минэнерго России от 24 марта 2003 г. № 115 – утратил силу.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7. </w:t>
            </w: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Паспорта тепловых пунктов или копии паспортов тепловых пунктов в соответствии с пунктом 9.1.5 Правил технической эксплуатации тепловых энергоустановок, а также проектно-техническая документация на здание (сооружение) в части внутренних систем теплоснабжения по теплопотребляющим установкам, установленным в здании (сооружении). Схема теплового пункта.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 xml:space="preserve">Пояснение: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Паспорт теплового узла (по количеству ИТП в доме)+Принципиальная схема (на каждый ИТП в доме).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8. Выписка из утвержденного штатного расписания, осуществляющего функции эксплуатационной, диспетчерской и аварийной служб или договоров на техническое обслуживание, энергосервисных контрактов.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9. Акт, подтверждающий работоспособность автоматических регуляторов температуры воды.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>Пояснение: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Тоже что Акт о проведении проверки работоспособности автоматических регуляторов – (проставляются в таблице первой колонки плюсы представителями УК/ТСЖ/Соцобъекты).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>Важно: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 xml:space="preserve"> Установка регуляторов обязательна, согласно постановлению Госстроя РФ № 170 от 27.09.2003г.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10. Акты разграничения балансовой принадлежности тепловых сетей.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>Пояснение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: Тоже что Акт разграничения балансовой принадлежности тепловых сетей и эксплуатационной ответственности сторон (Приложение к договору теплоснабжения).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</w:tc>
      </w:tr>
      <w:tr>
        <w:trPr>
          <w:trHeight w:val="878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240" w:after="0"/>
              <w:ind w:hanging="0" w:left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готовности к соблюдению указанного в договоре теплоснабжения режима потребления тепловой энергии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1. Акт осмотра объектов теплоснабжения и теплопотребляющих установок на предмет наличия несанкционированных врезок.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 xml:space="preserve">Пояснение: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Акт составляет лицо, осуществляющее проверку и установившее несанкционированное подключение, т.е. либо представитель управляющей компании, либо представитель ресурсоснабжающей организации.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  <w:t>Акт составляется на месте сразу после выявления данного факта. В присутствии потребителя, если в проверке участвовали другие лица, кроме исполнителя и потребителя, например представители совета дома, то они также подписывают акт.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2. 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теплопотребляющей установки объекта к отопительному периоду, составленный по результатам анализа документов и визуального осмотра, с указанием выявленных замечаний, свидетельствующих о несоблюдении потребителем требований безопасной эксплуатации теплопотребляющих установок и (или) невыполнении мероприятий, обеспечивающих соблюдение указанного в договоре теплоснабжения или предусмотренного нормативными актами режима потребления тепловой энергии.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i/>
                <w:i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 xml:space="preserve">Пояснение: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Тоже что Акт проверки технической готовности теплопотребляющей установки объекта к отопительному периоду 2026/2027 гг</w:t>
            </w: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 xml:space="preserve">Важно: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Подпись представителя ЕТО – обязательна.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176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240" w:after="0"/>
              <w:ind w:hanging="0" w:left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Коммерческий учет тепловой энергии, теплоносителя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1. Акт периодической проверки узла учета.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Пояснение: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Здесь могут быть дополнительно: акт обследования точки учета АИИС КУЭ ДУ, Акт приемки/поверки водомерного узла ГВ, акт приемки водомерных узлов.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2. Акт проверки контрольно-измерительных приборов в тепловом пункте.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i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Пояснение: </w:t>
            </w:r>
            <w:r>
              <w:rPr>
                <w:rFonts w:ascii="Times New Roman" w:hAnsi="Times New Roman"/>
                <w:sz w:val="24"/>
                <w:szCs w:val="24"/>
              </w:rPr>
              <w:t>Это акт допуска в эксплуатацию узла коммерческого учета ТЭ у Потребителя со свидетельствами о поверке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Важно: </w:t>
            </w:r>
            <w:r>
              <w:rPr>
                <w:rFonts w:ascii="Times New Roman" w:hAnsi="Times New Roman"/>
                <w:sz w:val="24"/>
                <w:szCs w:val="24"/>
              </w:rPr>
              <w:t>Дата поверки актуальна к отопительному периоду.</w:t>
            </w:r>
          </w:p>
        </w:tc>
      </w:tr>
      <w:tr>
        <w:trPr>
          <w:trHeight w:val="176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240" w:after="0"/>
              <w:ind w:hanging="0" w:left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 выполнения требований Правил и норм технической эксплуатации жилищного фонда, утвержденных постановлением Госстроя Российской Федерации от 27 сентября 2003 № 170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1. Паспорт готовности дома к работе в зимних условиях (по форме приложения 9 Правил и норм технической эксплуатации жилищного фонда утв. постановлением Госстроя РФ от 27 сентября 2003 г. № 170).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  <w:t>2. Акт о проведении дезинфекции систем теплопотребления с открытой схемой теплоснабжения и горячего водоснабжения.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b/>
                <w:sz w:val="24"/>
                <w:szCs w:val="24"/>
                <w:u w:val="single"/>
              </w:rPr>
            </w:pPr>
            <w:r>
              <w:rPr>
                <w:rFonts w:eastAsia="Times New Roman"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eastAsia="Times New Roman" w:ascii="Times New Roman" w:hAnsi="Times New Roman"/>
                <w:i/>
                <w:sz w:val="24"/>
                <w:szCs w:val="24"/>
              </w:rPr>
              <w:t>Пояснение: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ascii="Times New Roman" w:hAnsi="Times New Roman"/>
                <w:sz w:val="24"/>
                <w:szCs w:val="24"/>
              </w:rPr>
              <w:t>Акты о результатах отбора проб воды из системы на соответствие с СанПиН 1.2.3685–21, оформленные аккредитованной лабораторией.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</w:r>
          </w:p>
        </w:tc>
      </w:tr>
      <w:tr>
        <w:trPr>
          <w:trHeight w:val="176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240" w:after="0"/>
              <w:ind w:hanging="0" w:left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fill="FFFFFF" w:val="clear"/>
              </w:rPr>
              <w:t>Наличие актов о проверке состояния дымовых и вентиляционных каналов перед отопительным периодом у потребителей тепловой энергии, являющихся лицами, осуществляющими в соответствии с жилищным законодательством управление многоквартирным домом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fill="FFFFFF" w:val="clea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shd w:fill="FFFFFF" w:val="clear"/>
              </w:rPr>
              <w:t>Акт о проверке состояния вентиляционных каналов многоквартирных домов.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  <w:shd w:fill="FFFFFF" w:val="clear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shd w:fill="FFFFFF" w:val="clear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shd w:fill="FFFFFF" w:val="clear"/>
              </w:rPr>
              <w:t>Пояснение:</w:t>
            </w:r>
            <w:r>
              <w:rPr>
                <w:rFonts w:ascii="Times New Roman" w:hAnsi="Times New Roman"/>
                <w:bCs/>
                <w:sz w:val="24"/>
                <w:szCs w:val="24"/>
                <w:shd w:fill="FFFFFF" w:val="clear"/>
              </w:rPr>
              <w:t xml:space="preserve"> Копия акта обследования дымовых и вентиляционных каналов многоквартирных домов перед отопительным периодом, копия действующего (действующих) документа (документов), подтверждающих выполнение технического обслуживания и ремонта внутридомового газового оборудования в МКД</w:t>
            </w:r>
          </w:p>
        </w:tc>
      </w:tr>
      <w:tr>
        <w:trPr>
          <w:trHeight w:val="3515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240" w:after="0"/>
              <w:ind w:hanging="0" w:left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Обеспечить выполнение в установленные сроки предписаний, влияющих на надежность работы в отопительный период, выданных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Справка, представленная федеральным органом исполнительной власти государственного энергетического надзора, федерального государственного надзора в области промышленной безопасности.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Пояснение:</w:t>
            </w: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Отсутствие/наличие предписаний от Ростехнадзора.</w:t>
            </w:r>
          </w:p>
        </w:tc>
      </w:tr>
      <w:tr>
        <w:trPr>
          <w:trHeight w:val="176" w:hRule="atLeast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spacing w:lineRule="auto" w:line="240" w:before="240" w:after="0"/>
              <w:ind w:hanging="0" w:left="0"/>
              <w:contextualSpacing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spacing w:lineRule="auto" w:line="240" w:before="0" w:after="0"/>
              <w:ind w:left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Обеспечение выполнения плана подготовки к отопительному периоду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План подготовки к отопительному периоду.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Пояснение: </w:t>
            </w:r>
            <w:r>
              <w:rPr>
                <w:rFonts w:ascii="Times New Roman" w:hAnsi="Times New Roman"/>
                <w:sz w:val="24"/>
                <w:szCs w:val="24"/>
              </w:rPr>
              <w:t>План подготовки к отопительному периоду, разработанный УК (ТСЖ, кооперативами), должен быть синхронизирован с планами подготовки к отопительному периоду теплоснабжающих организаций и теплосетевых организаций. План подготовки к отопительному периоду в течение 5 рабочих дней со дня его утверждения направляется УК (ТСЖ, кооперативами) в орган местного самоуправления.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Допускается внесение корректировок в план подготовки к отопительному периоду в случаях: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изменения условий эксплуатации;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непредвиденных обстоятельств.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 этом, должна быть обеспечена синхронизация сроков выполнения работ и мероприятий, требующих отключения горячего водоснабжения, заполнения теплопотребляющих установок и тепловых сетей сетевой водой после выполнения ремонтных работ между УК (ТСЖ, кооперативами) и теплоснабжающими организациями и теплосетевыми организациями. Вносимые изменения (корректировки) должны быть согласованы с единой теплоснабжающей организацией и, затем, направлены в орган местного самоуправления.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Важно: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План подготовки к отопительному периоду размещается на официальном сайте (при наличии) УК (ТСЖ, кооперативов) не позднее 5 рабочих дней со дня их утверждения. При отсутствии официального сайта, план подготовки к отопительному периоду подлежит направлению в тот же срок в орган местного самоуправления для размещения на официальном сайте органа местного самоуправления в Интернете.</w:t>
            </w:r>
          </w:p>
          <w:p>
            <w:pPr>
              <w:pStyle w:val="Normal"/>
              <w:spacing w:lineRule="auto" w:line="240" w:before="0"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u w:val="single"/>
              </w:rPr>
            </w:r>
          </w:p>
        </w:tc>
      </w:tr>
    </w:tbl>
    <w:p>
      <w:pPr>
        <w:pStyle w:val="Normal"/>
        <w:rPr>
          <w:rFonts w:ascii="Times New Roman" w:hAnsi="Times New Roman"/>
          <w:b/>
          <w:sz w:val="28"/>
          <w:szCs w:val="28"/>
          <w:u w:val="single"/>
        </w:rPr>
      </w:pPr>
      <w:r>
        <w:rPr/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Примечание: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 Образцы Актов представлены на сайте администрации г. Новокузнецка во вкладке «Пакет документов для подготовки к ОЗП 2026-2027»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 В «Оценочном листе для потребителей…» (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 xml:space="preserve">-формат) расчет индекса готовности рассчитывается </w:t>
      </w:r>
      <w:r>
        <w:rPr>
          <w:rFonts w:ascii="Times New Roman" w:hAnsi="Times New Roman"/>
          <w:i/>
          <w:sz w:val="28"/>
          <w:szCs w:val="28"/>
          <w:u w:val="single"/>
        </w:rPr>
        <w:t>автоматически</w:t>
      </w:r>
      <w:r>
        <w:rPr>
          <w:rFonts w:ascii="Times New Roman" w:hAnsi="Times New Roman"/>
          <w:sz w:val="28"/>
          <w:szCs w:val="28"/>
        </w:rPr>
        <w:t xml:space="preserve"> (желтые ячейки), запрещено вносить изменения.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Выбор значений «0» или «1» вводится при заполнении зеленых ячеек.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Важно – отсутствие акта – «0», наличие «1».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***Прием оценочных листов комиссией - только при наличии подписи представителя ЕТО в оценочном листе и </w:t>
      </w:r>
      <w:r>
        <w:rPr>
          <w:rFonts w:ascii="Times New Roman" w:hAnsi="Times New Roman"/>
          <w:sz w:val="28"/>
          <w:szCs w:val="28"/>
          <w:lang w:val="en-US"/>
        </w:rPr>
        <w:t>Excel</w:t>
      </w:r>
      <w:r>
        <w:rPr>
          <w:rFonts w:ascii="Times New Roman" w:hAnsi="Times New Roman"/>
          <w:sz w:val="28"/>
          <w:szCs w:val="28"/>
        </w:rPr>
        <w:t>-формате.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c6152"/>
    <w:pPr>
      <w:widowControl/>
      <w:bidi w:val="0"/>
      <w:spacing w:lineRule="auto" w:line="257" w:before="0" w:after="16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Без интервала Знак"/>
    <w:link w:val="NoSpacing"/>
    <w:uiPriority w:val="1"/>
    <w:qFormat/>
    <w:locked/>
    <w:rsid w:val="008c6152"/>
    <w:rPr>
      <w:rFonts w:ascii="Times New Roman" w:hAnsi="Times New Roman" w:eastAsia="Times New Roman" w:cs="Times New Roman"/>
    </w:rPr>
  </w:style>
  <w:style w:type="character" w:styleId="Style15" w:customStyle="1">
    <w:name w:val="Текст выноски Знак"/>
    <w:basedOn w:val="DefaultParagraphFont"/>
    <w:link w:val="BalloonText"/>
    <w:uiPriority w:val="99"/>
    <w:semiHidden/>
    <w:qFormat/>
    <w:rsid w:val="00733ef3"/>
    <w:rPr>
      <w:rFonts w:ascii="Tahoma" w:hAnsi="Tahoma" w:eastAsia="Calibri" w:cs="Tahoma"/>
      <w:sz w:val="16"/>
      <w:szCs w:val="16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NoSpacing">
    <w:name w:val="No Spacing"/>
    <w:link w:val="Style14"/>
    <w:uiPriority w:val="1"/>
    <w:qFormat/>
    <w:rsid w:val="008c6152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ListParagraph">
    <w:name w:val="List Paragraph"/>
    <w:basedOn w:val="Normal"/>
    <w:uiPriority w:val="99"/>
    <w:qFormat/>
    <w:rsid w:val="008c6152"/>
    <w:pPr>
      <w:spacing w:before="0" w:after="160"/>
      <w:ind w:left="720"/>
      <w:contextualSpacing/>
    </w:pPr>
    <w:rPr/>
  </w:style>
  <w:style w:type="paragraph" w:styleId="BalloonText">
    <w:name w:val="Balloon Text"/>
    <w:basedOn w:val="Normal"/>
    <w:link w:val="Style15"/>
    <w:uiPriority w:val="99"/>
    <w:semiHidden/>
    <w:unhideWhenUsed/>
    <w:qFormat/>
    <w:rsid w:val="00733ef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Style18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Application>LibreOffice/25.2.6.2$Linux_X86_64 LibreOffice_project/520$Build-2</Application>
  <AppVersion>15.0000</AppVersion>
  <Pages>6</Pages>
  <Words>1170</Words>
  <Characters>8807</Characters>
  <CharactersWithSpaces>9912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2025-05-20T09:48:00Z</dcterms:created>
  <dc:creator>Анастасия Шестакова</dc:creator>
  <dc:description/>
  <dc:language>ru-RU</dc:language>
  <cp:lastModifiedBy>Ольга Меркель</cp:lastModifiedBy>
  <cp:lastPrinted>2026-02-26T08:11:00Z</cp:lastPrinted>
  <dcterms:modified xsi:type="dcterms:W3CDTF">2026-02-26T08:17:00Z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