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r w:rsidR="004A4227">
        <w:rPr>
          <w:rFonts w:ascii="Times New Roman" w:hAnsi="Times New Roman" w:cs="Times New Roman"/>
          <w:sz w:val="28"/>
          <w:szCs w:val="28"/>
        </w:rPr>
        <w:t xml:space="preserve"> </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2"/>
      </w:r>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w:t>
      </w:r>
      <w:r w:rsidRPr="00C656BF">
        <w:rPr>
          <w:rFonts w:ascii="Times New Roman" w:hAnsi="Times New Roman" w:cs="Times New Roman"/>
          <w:sz w:val="28"/>
          <w:szCs w:val="28"/>
        </w:rPr>
        <w:lastRenderedPageBreak/>
        <w:t xml:space="preserve">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которая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которая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3"/>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 соответствии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xml:space="preserve">, а с другой, не </w:t>
      </w:r>
      <w:r w:rsidR="001E6E05" w:rsidRPr="00C656BF">
        <w:rPr>
          <w:rFonts w:ascii="Times New Roman" w:hAnsi="Times New Roman" w:cs="Times New Roman"/>
          <w:sz w:val="28"/>
          <w:szCs w:val="28"/>
        </w:rPr>
        <w:lastRenderedPageBreak/>
        <w:t>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следующие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составить базу типовых ситуаций, содержащих факты </w:t>
      </w:r>
      <w:r w:rsidRPr="00C656BF">
        <w:rPr>
          <w:rFonts w:ascii="Times New Roman" w:hAnsi="Times New Roman" w:cs="Times New Roman"/>
          <w:sz w:val="28"/>
          <w:szCs w:val="28"/>
        </w:rPr>
        <w:lastRenderedPageBreak/>
        <w:t>наличия 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w:t>
      </w:r>
      <w:bookmarkStart w:id="0" w:name="_GoBack"/>
      <w:r w:rsidRPr="00C656BF">
        <w:rPr>
          <w:rFonts w:ascii="Times New Roman" w:hAnsi="Times New Roman" w:cs="Times New Roman"/>
          <w:sz w:val="28"/>
          <w:szCs w:val="28"/>
        </w:rPr>
        <w:t>Обзор</w:t>
      </w:r>
      <w:bookmarkEnd w:id="0"/>
      <w:r w:rsidRPr="00C656BF">
        <w:rPr>
          <w:rFonts w:ascii="Times New Roman" w:hAnsi="Times New Roman" w:cs="Times New Roman"/>
          <w:sz w:val="28"/>
          <w:szCs w:val="28"/>
        </w:rPr>
        <w:t xml:space="preserve">ах практики правоприменения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8"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 типовым ситуациям, применимым непосредственно для целей закупок, могут относиться следующие:</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w:t>
      </w:r>
      <w:r w:rsidRPr="00C656BF">
        <w:rPr>
          <w:rFonts w:ascii="Times New Roman" w:hAnsi="Times New Roman" w:cs="Times New Roman"/>
          <w:sz w:val="28"/>
          <w:szCs w:val="28"/>
        </w:rPr>
        <w:lastRenderedPageBreak/>
        <w:t xml:space="preserve">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4"/>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 xml:space="preserve">между органами (организациями) и, например, межрегиональными управлениями Росфинмониторинга об информационном обмене в целях предупреждения выделения бюджетных средств </w:t>
      </w:r>
      <w:r w:rsidR="00BF7FB9" w:rsidRPr="00C656BF">
        <w:rPr>
          <w:rFonts w:ascii="Times New Roman" w:hAnsi="Times New Roman" w:cs="Times New Roman"/>
          <w:sz w:val="28"/>
          <w:szCs w:val="28"/>
        </w:rPr>
        <w:lastRenderedPageBreak/>
        <w:t>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w:t>
      </w:r>
      <w:r w:rsidRPr="00C656BF">
        <w:rPr>
          <w:rFonts w:ascii="Times New Roman" w:hAnsi="Times New Roman" w:cs="Times New Roman"/>
          <w:sz w:val="28"/>
          <w:szCs w:val="28"/>
        </w:rPr>
        <w:lastRenderedPageBreak/>
        <w:t>информация, а также данные, позволяющие его идентифицировать, утвержденная распоряжением Правительства Российской Федерации от 28 декабря 2016 г. № 2867-р;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агрегаторов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xml:space="preserve">, декларации о возможной личной </w:t>
      </w:r>
      <w:r w:rsidR="00923CF6" w:rsidRPr="00C656BF">
        <w:rPr>
          <w:rFonts w:ascii="Times New Roman" w:hAnsi="Times New Roman" w:cs="Times New Roman"/>
          <w:sz w:val="28"/>
          <w:szCs w:val="28"/>
        </w:rPr>
        <w:lastRenderedPageBreak/>
        <w:t>заинтересованности. Типовая форма для декларирования служащими (работниками) о возможной 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9"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 xml:space="preserve">В случае,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 xml:space="preserve">пунктом 9 части 1 статьи 31 </w:t>
      </w:r>
      <w:r w:rsidR="0011306A" w:rsidRPr="00C656BF">
        <w:rPr>
          <w:rFonts w:ascii="Times New Roman" w:hAnsi="Times New Roman" w:cs="Times New Roman"/>
          <w:sz w:val="28"/>
          <w:szCs w:val="28"/>
        </w:rPr>
        <w:lastRenderedPageBreak/>
        <w:t>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5"/>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 xml:space="preserve">"конфликт интересов", применимое при осуществлении закупок в рамках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подразделению по профилактике коррупционных правонарушений рекомендуется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Аналогично подразделению по профилактике коррупционных правонарушений рекомендуется провести анализ информации о единственном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w:t>
      </w:r>
      <w:hyperlink r:id="rId10"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а также посредством использования различных агрегаторов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1"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6"/>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xml:space="preserve">. 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w:t>
      </w:r>
      <w:r w:rsidRPr="00C656BF">
        <w:rPr>
          <w:rFonts w:ascii="Times New Roman" w:hAnsi="Times New Roman" w:cs="Times New Roman"/>
          <w:sz w:val="28"/>
          <w:szCs w:val="28"/>
        </w:rPr>
        <w:lastRenderedPageBreak/>
        <w:t>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7"/>
      </w:r>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что Федеральным законом № 44-ФЗ установлена обязанность поставщика (подрядчика, исполнителя) предоставлять информацию о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8"/>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1 статьи 706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9"/>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организаций механизмов регулирования конфликта интересов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Также отдельным категориям организаций следует руководствоваться нормативными правовыми актами, регулирующими сферу, в которой </w:t>
      </w:r>
      <w:r w:rsidRPr="00C656BF">
        <w:rPr>
          <w:rFonts w:ascii="Times New Roman" w:hAnsi="Times New Roman" w:cs="Times New Roman"/>
          <w:sz w:val="28"/>
          <w:szCs w:val="28"/>
        </w:rPr>
        <w:lastRenderedPageBreak/>
        <w:t>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5.2. При построении работы, направленной на выявление личной заинтересованности работников отдельных категорий организаций при осуществлении закупок, которая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регулировании конфликта интересов и 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1"/>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урегулирование конфликта интересов, то есть принятие организационных мер (например, усиление контроля за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lastRenderedPageBreak/>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репутационных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2"/>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2"/>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lastRenderedPageBreak/>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r w:rsidRPr="00C656BF">
        <w:rPr>
          <w:rFonts w:ascii="Times New Roman" w:hAnsi="Times New Roman" w:cs="Times New Roman"/>
          <w:b/>
          <w:sz w:val="28"/>
          <w:szCs w:val="28"/>
          <w:vertAlign w:val="superscript"/>
        </w:rPr>
        <w:t>1</w:t>
      </w:r>
      <w:r w:rsidRPr="009A3B9B">
        <w:rPr>
          <w:rStyle w:val="a5"/>
          <w:rFonts w:ascii="Times New Roman" w:hAnsi="Times New Roman" w:cs="Times New Roman"/>
          <w:b/>
          <w:color w:val="FFFFFF" w:themeColor="background1"/>
          <w:sz w:val="2"/>
          <w:szCs w:val="28"/>
        </w:rPr>
        <w:footnoteReference w:id="13"/>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tblPr>
      <w:tblGrid>
        <w:gridCol w:w="7054"/>
        <w:gridCol w:w="1205"/>
        <w:gridCol w:w="1205"/>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r w:rsidR="009A3B9B">
              <w:rPr>
                <w:rFonts w:ascii="Times New Roman" w:hAnsi="Times New Roman"/>
                <w:sz w:val="28"/>
                <w:szCs w:val="28"/>
                <w:vertAlign w:val="superscript"/>
              </w:rPr>
              <w:t>2</w:t>
            </w:r>
            <w:r w:rsidR="00C524D8" w:rsidRPr="009A3B9B">
              <w:rPr>
                <w:rStyle w:val="a5"/>
                <w:rFonts w:ascii="Times New Roman" w:hAnsi="Times New Roman"/>
                <w:sz w:val="2"/>
                <w:szCs w:val="28"/>
              </w:rPr>
              <w:footnoteReference w:id="14"/>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 xml:space="preserve">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w:t>
            </w:r>
            <w:r w:rsidRPr="00C656BF">
              <w:rPr>
                <w:sz w:val="28"/>
                <w:szCs w:val="28"/>
              </w:rPr>
              <w:lastRenderedPageBreak/>
              <w:t>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762" w:rsidRDefault="00E63762" w:rsidP="00E4122D">
      <w:pPr>
        <w:spacing w:after="0" w:line="240" w:lineRule="auto"/>
      </w:pPr>
      <w:r>
        <w:separator/>
      </w:r>
    </w:p>
  </w:endnote>
  <w:endnote w:type="continuationSeparator" w:id="1">
    <w:p w:rsidR="00E63762" w:rsidRDefault="00E63762" w:rsidP="00E412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762" w:rsidRDefault="00E63762" w:rsidP="00E4122D">
      <w:pPr>
        <w:spacing w:after="0" w:line="240" w:lineRule="auto"/>
      </w:pPr>
      <w:r>
        <w:separator/>
      </w:r>
    </w:p>
  </w:footnote>
  <w:footnote w:type="continuationSeparator" w:id="1">
    <w:p w:rsidR="00E63762" w:rsidRDefault="00E63762" w:rsidP="00E4122D">
      <w:pPr>
        <w:spacing w:after="0" w:line="240" w:lineRule="auto"/>
      </w:pPr>
      <w:r>
        <w:continuationSeparator/>
      </w:r>
    </w:p>
  </w:footnote>
  <w:footnote w:id="2">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3">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4">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 2009 г. № 1065)</w:t>
      </w:r>
      <w:r>
        <w:rPr>
          <w:rFonts w:ascii="Times New Roman" w:hAnsi="Times New Roman" w:cs="Times New Roman"/>
        </w:rPr>
        <w:t>.</w:t>
      </w:r>
    </w:p>
  </w:footnote>
  <w:footnote w:id="5">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6">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7">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
  </w:footnote>
  <w:footnote w:id="8">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9">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footnote>
  <w:footnote w:id="10">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основании которого осуществляется подготовка локальных нормативных актов организации в сфере предупреждения и противодействия коррупции.</w:t>
      </w:r>
    </w:p>
  </w:footnote>
  <w:footnote w:id="11">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 только федеральным законом.</w:t>
      </w:r>
    </w:p>
  </w:footnote>
  <w:footnote w:id="12">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3">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
  </w:footnote>
  <w:footnote w:id="14">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B77CE3">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0026409F"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C40999">
          <w:rPr>
            <w:rFonts w:ascii="Times New Roman" w:hAnsi="Times New Roman" w:cs="Times New Roman"/>
            <w:noProof/>
            <w:sz w:val="28"/>
            <w:szCs w:val="28"/>
          </w:rPr>
          <w:t>20</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B77CE3">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0026409F"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C40999">
          <w:rPr>
            <w:rFonts w:ascii="Times New Roman" w:hAnsi="Times New Roman" w:cs="Times New Roman"/>
            <w:noProof/>
            <w:sz w:val="28"/>
          </w:rPr>
          <w:t>3</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characterSpacingControl w:val="doNotCompress"/>
  <w:footnotePr>
    <w:footnote w:id="0"/>
    <w:footnote w:id="1"/>
  </w:footnotePr>
  <w:endnotePr>
    <w:endnote w:id="0"/>
    <w:endnote w:id="1"/>
  </w:endnotePr>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7A7C"/>
    <w:rsid w:val="00384754"/>
    <w:rsid w:val="003A19A1"/>
    <w:rsid w:val="003B4765"/>
    <w:rsid w:val="003B4D97"/>
    <w:rsid w:val="003C2551"/>
    <w:rsid w:val="003E1623"/>
    <w:rsid w:val="003E4E19"/>
    <w:rsid w:val="003F706C"/>
    <w:rsid w:val="00405E50"/>
    <w:rsid w:val="004267F0"/>
    <w:rsid w:val="004444E3"/>
    <w:rsid w:val="004579DD"/>
    <w:rsid w:val="00480D75"/>
    <w:rsid w:val="00484DA9"/>
    <w:rsid w:val="00493125"/>
    <w:rsid w:val="004A25A4"/>
    <w:rsid w:val="004A4227"/>
    <w:rsid w:val="004C1FA4"/>
    <w:rsid w:val="004C7B0F"/>
    <w:rsid w:val="004D4341"/>
    <w:rsid w:val="004D56E5"/>
    <w:rsid w:val="004F43CC"/>
    <w:rsid w:val="004F5A8E"/>
    <w:rsid w:val="004F6D09"/>
    <w:rsid w:val="00500008"/>
    <w:rsid w:val="00537865"/>
    <w:rsid w:val="00544813"/>
    <w:rsid w:val="00547D0B"/>
    <w:rsid w:val="0055445C"/>
    <w:rsid w:val="005821AA"/>
    <w:rsid w:val="005A721D"/>
    <w:rsid w:val="005B0F3A"/>
    <w:rsid w:val="005E1FF1"/>
    <w:rsid w:val="006110E4"/>
    <w:rsid w:val="006223C4"/>
    <w:rsid w:val="006D1DEB"/>
    <w:rsid w:val="006E2F42"/>
    <w:rsid w:val="006F7064"/>
    <w:rsid w:val="00710BAE"/>
    <w:rsid w:val="00712F11"/>
    <w:rsid w:val="00722E12"/>
    <w:rsid w:val="00724145"/>
    <w:rsid w:val="00737281"/>
    <w:rsid w:val="00765118"/>
    <w:rsid w:val="007768E5"/>
    <w:rsid w:val="007A40E6"/>
    <w:rsid w:val="007C78A4"/>
    <w:rsid w:val="007D05F6"/>
    <w:rsid w:val="007D35DA"/>
    <w:rsid w:val="007D6F0E"/>
    <w:rsid w:val="007E50DF"/>
    <w:rsid w:val="007E51CC"/>
    <w:rsid w:val="007F59F9"/>
    <w:rsid w:val="007F6593"/>
    <w:rsid w:val="008016CF"/>
    <w:rsid w:val="0080660C"/>
    <w:rsid w:val="008150A0"/>
    <w:rsid w:val="008173AD"/>
    <w:rsid w:val="0084538B"/>
    <w:rsid w:val="00861467"/>
    <w:rsid w:val="00884840"/>
    <w:rsid w:val="00897C61"/>
    <w:rsid w:val="008A3A5D"/>
    <w:rsid w:val="00923CF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735CA"/>
    <w:rsid w:val="00A83638"/>
    <w:rsid w:val="00AA2650"/>
    <w:rsid w:val="00AA6599"/>
    <w:rsid w:val="00AB1318"/>
    <w:rsid w:val="00AB221C"/>
    <w:rsid w:val="00B07983"/>
    <w:rsid w:val="00B11A55"/>
    <w:rsid w:val="00B3280E"/>
    <w:rsid w:val="00B77CE3"/>
    <w:rsid w:val="00B94EBF"/>
    <w:rsid w:val="00BC06A4"/>
    <w:rsid w:val="00BC7B92"/>
    <w:rsid w:val="00BD53B8"/>
    <w:rsid w:val="00BE0D05"/>
    <w:rsid w:val="00BE2D0F"/>
    <w:rsid w:val="00BF7FB9"/>
    <w:rsid w:val="00C0476E"/>
    <w:rsid w:val="00C171B1"/>
    <w:rsid w:val="00C22500"/>
    <w:rsid w:val="00C35CB8"/>
    <w:rsid w:val="00C40999"/>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4387"/>
    <w:rsid w:val="00D94B21"/>
    <w:rsid w:val="00DF545B"/>
    <w:rsid w:val="00E0233A"/>
    <w:rsid w:val="00E07B83"/>
    <w:rsid w:val="00E11C11"/>
    <w:rsid w:val="00E4122D"/>
    <w:rsid w:val="00E45D56"/>
    <w:rsid w:val="00E50AEE"/>
    <w:rsid w:val="00E5506A"/>
    <w:rsid w:val="00E55719"/>
    <w:rsid w:val="00E63762"/>
    <w:rsid w:val="00E65353"/>
    <w:rsid w:val="00E716D7"/>
    <w:rsid w:val="00EA5D24"/>
    <w:rsid w:val="00ED18E1"/>
    <w:rsid w:val="00ED5E76"/>
    <w:rsid w:val="00F0341E"/>
    <w:rsid w:val="00F536AA"/>
    <w:rsid w:val="00F8747A"/>
    <w:rsid w:val="00FA21DA"/>
    <w:rsid w:val="00FC5554"/>
    <w:rsid w:val="00FC5B2B"/>
    <w:rsid w:val="00FF3941"/>
    <w:rsid w:val="00FF6F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mintrud.ru/ministry/programms/anticorruption/9/1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b.nalog.ru/" TargetMode="Externa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222E1-AD05-4F23-B9DE-E3486ECAC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7047</Words>
  <Characters>40169</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Пользователь Windows</cp:lastModifiedBy>
  <cp:revision>2</cp:revision>
  <cp:lastPrinted>2020-05-15T07:48:00Z</cp:lastPrinted>
  <dcterms:created xsi:type="dcterms:W3CDTF">2025-04-02T07:30:00Z</dcterms:created>
  <dcterms:modified xsi:type="dcterms:W3CDTF">2025-04-02T07:30:00Z</dcterms:modified>
</cp:coreProperties>
</file>