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06" w:rsidRPr="00E72B84" w:rsidRDefault="00905F06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2B84">
        <w:rPr>
          <w:noProof/>
          <w:color w:val="000000" w:themeColor="text1"/>
        </w:rPr>
        <w:drawing>
          <wp:inline distT="0" distB="0" distL="0" distR="0">
            <wp:extent cx="571500" cy="714375"/>
            <wp:effectExtent l="0" t="0" r="0" b="9525"/>
            <wp:docPr id="2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F06" w:rsidRPr="00E72B84" w:rsidRDefault="00905F06" w:rsidP="00E472C8">
      <w:pPr>
        <w:tabs>
          <w:tab w:val="center" w:pos="4677"/>
          <w:tab w:val="left" w:pos="597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Кемеровская область - Кузбасс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– </w:t>
      </w:r>
      <w:proofErr w:type="spellStart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Осинниковский</w:t>
      </w:r>
      <w:proofErr w:type="spellEnd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городской округ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Осинниковского</w:t>
      </w:r>
      <w:proofErr w:type="spellEnd"/>
      <w:r w:rsidRPr="006E78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5F06" w:rsidRPr="006E783B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B08FF" w:rsidRDefault="00905F06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E472C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AB08FF" w:rsidRDefault="00AB08FF" w:rsidP="00E472C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AB08FF" w:rsidRDefault="00AB08FF" w:rsidP="006349D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_</w:t>
      </w:r>
      <w:r w:rsidR="006349D8" w:rsidRPr="006349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01.11.2024</w:t>
      </w:r>
      <w:r w:rsidRPr="006349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                                                                                    _</w:t>
      </w:r>
      <w:r w:rsidR="006349D8" w:rsidRPr="006349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1294-п</w:t>
      </w:r>
      <w:r w:rsidRPr="006349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</w:p>
    <w:p w:rsidR="00AB08FF" w:rsidRDefault="00AB08FF" w:rsidP="00AB08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AB08FF" w:rsidRDefault="00AB08FF" w:rsidP="00AB08F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   </w:t>
      </w:r>
    </w:p>
    <w:p w:rsidR="003D7317" w:rsidRPr="00833E3B" w:rsidRDefault="00905F06" w:rsidP="00E472C8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Об основных направлениях </w:t>
      </w:r>
      <w:r w:rsidR="007B18C0">
        <w:rPr>
          <w:rFonts w:ascii="Times New Roman" w:hAnsi="Times New Roman" w:cs="Times New Roman"/>
          <w:b w:val="0"/>
          <w:sz w:val="24"/>
          <w:szCs w:val="24"/>
        </w:rPr>
        <w:t>д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олговой политики </w:t>
      </w:r>
      <w:proofErr w:type="spellStart"/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>Осинниковского</w:t>
      </w:r>
      <w:proofErr w:type="spellEnd"/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городского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D239AE" w:rsidRPr="00833E3B">
        <w:rPr>
          <w:rFonts w:ascii="Times New Roman" w:hAnsi="Times New Roman" w:cs="Times New Roman"/>
          <w:b w:val="0"/>
          <w:sz w:val="24"/>
          <w:szCs w:val="24"/>
        </w:rPr>
        <w:t>а Кемеровской области - Кузбасса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на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5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6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7</w:t>
      </w:r>
      <w:r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472C8" w:rsidRPr="00833E3B" w:rsidRDefault="00E472C8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7317" w:rsidRPr="00833E3B" w:rsidRDefault="003D7317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6A1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13 статьи 107.1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Бюджетн</w:t>
      </w:r>
      <w:r w:rsidR="006A15A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="006A15AA">
        <w:t>а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C210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реализации ответственной долговой политики </w:t>
      </w:r>
      <w:proofErr w:type="spellStart"/>
      <w:r w:rsidR="00D239AE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D239AE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Кемеровской области - Кузбасса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и повышения ее эффективности:</w:t>
      </w:r>
    </w:p>
    <w:p w:rsidR="007B18C0" w:rsidRDefault="003D7317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основные </w:t>
      </w:r>
      <w:hyperlink w:anchor="P26" w:history="1">
        <w:r w:rsidRPr="00833E3B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направления</w:t>
        </w:r>
      </w:hyperlink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долговой политики </w:t>
      </w:r>
      <w:proofErr w:type="spellStart"/>
      <w:r w:rsidR="00AE6588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AE6588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Кемеровской области - Кузбасса 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C40A0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</w:t>
      </w:r>
      <w:r w:rsidR="00905F06"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40A0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C40A0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согласно приложению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C2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настоящему </w:t>
      </w:r>
      <w:r w:rsidR="007B18C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постановлению.</w:t>
      </w:r>
    </w:p>
    <w:p w:rsidR="00C210E1" w:rsidRPr="00833E3B" w:rsidRDefault="007B18C0" w:rsidP="00C210E1">
      <w:pPr>
        <w:pStyle w:val="ConsPlusTitle"/>
        <w:ind w:left="-567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3D7317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E4725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Признать утратившим силу 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Осинниковского</w:t>
      </w:r>
      <w:proofErr w:type="spellEnd"/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городского округа от </w:t>
      </w:r>
      <w:r w:rsidR="00C40A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.1</w:t>
      </w:r>
      <w:r w:rsidR="00BF1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.202</w:t>
      </w:r>
      <w:r w:rsidR="00C40A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4D146D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</w:t>
      </w:r>
      <w:r w:rsidR="00BF140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 w:rsidR="00C40A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245</w:t>
      </w:r>
      <w:r w:rsidR="00C210E1" w:rsidRPr="00C210E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-п</w:t>
      </w:r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08FF">
        <w:rPr>
          <w:rFonts w:ascii="Times New Roman" w:hAnsi="Times New Roman" w:cs="Times New Roman"/>
          <w:b w:val="0"/>
          <w:sz w:val="24"/>
          <w:szCs w:val="24"/>
        </w:rPr>
        <w:t>"</w:t>
      </w:r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 xml:space="preserve">Об основных направлениях долговой политики </w:t>
      </w:r>
      <w:proofErr w:type="spellStart"/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>Осинниковского</w:t>
      </w:r>
      <w:proofErr w:type="spellEnd"/>
      <w:r w:rsidR="00C210E1" w:rsidRPr="00C210E1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Кемеровской области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- Кузбасса на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4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5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C40A0A">
        <w:rPr>
          <w:rFonts w:ascii="Times New Roman" w:hAnsi="Times New Roman" w:cs="Times New Roman"/>
          <w:b w:val="0"/>
          <w:sz w:val="24"/>
          <w:szCs w:val="24"/>
        </w:rPr>
        <w:t>6</w:t>
      </w:r>
      <w:r w:rsidR="00C210E1" w:rsidRPr="00833E3B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AB08FF">
        <w:rPr>
          <w:rFonts w:ascii="Times New Roman" w:hAnsi="Times New Roman" w:cs="Times New Roman"/>
          <w:b w:val="0"/>
          <w:sz w:val="24"/>
          <w:szCs w:val="24"/>
        </w:rPr>
        <w:t>"</w:t>
      </w:r>
      <w:r w:rsidR="00C210E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05F06" w:rsidRPr="00280DA6" w:rsidRDefault="007D7126" w:rsidP="00E472C8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D7317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5F0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подлежит </w:t>
      </w:r>
      <w:r w:rsidR="00280DA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размещению</w:t>
      </w:r>
      <w:r w:rsidR="00905F0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</w:t>
      </w:r>
      <w:r w:rsidR="00280DA6" w:rsidRPr="00280DA6">
        <w:rPr>
          <w:rFonts w:ascii="Times New Roman" w:hAnsi="Times New Roman" w:cs="Times New Roman"/>
          <w:color w:val="000000"/>
          <w:sz w:val="24"/>
          <w:szCs w:val="24"/>
        </w:rPr>
        <w:t>органов местного самоуправления</w:t>
      </w:r>
      <w:r w:rsidR="00C210E1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5F0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  <w:r w:rsidR="00905F0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280DA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DA6" w:rsidRPr="00280DA6">
        <w:rPr>
          <w:rFonts w:ascii="Times New Roman" w:hAnsi="Times New Roman" w:cs="Times New Roman"/>
          <w:color w:val="000000"/>
          <w:sz w:val="24"/>
          <w:szCs w:val="24"/>
        </w:rPr>
        <w:t>Кемеровской области - Кузбасса</w:t>
      </w:r>
      <w:r w:rsidR="00905F06" w:rsidRPr="00280D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7126" w:rsidRPr="00833E3B" w:rsidRDefault="007D7126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постановления</w:t>
      </w:r>
      <w:r w:rsidRPr="00833E3B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по экономике</w:t>
      </w:r>
      <w:r w:rsidR="00446C48">
        <w:rPr>
          <w:rFonts w:ascii="Times New Roman" w:hAnsi="Times New Roman" w:cs="Times New Roman"/>
          <w:sz w:val="24"/>
          <w:szCs w:val="24"/>
        </w:rPr>
        <w:t>, инвестиционной политике</w:t>
      </w:r>
      <w:r w:rsidRPr="00833E3B">
        <w:rPr>
          <w:rFonts w:ascii="Times New Roman" w:hAnsi="Times New Roman" w:cs="Times New Roman"/>
          <w:sz w:val="24"/>
          <w:szCs w:val="24"/>
        </w:rPr>
        <w:t xml:space="preserve"> и </w:t>
      </w:r>
      <w:r w:rsidR="00446C48">
        <w:rPr>
          <w:rFonts w:ascii="Times New Roman" w:hAnsi="Times New Roman" w:cs="Times New Roman"/>
          <w:sz w:val="24"/>
          <w:szCs w:val="24"/>
        </w:rPr>
        <w:t xml:space="preserve">развитию бизнеса                           </w:t>
      </w:r>
      <w:r w:rsidRPr="00833E3B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3B">
        <w:rPr>
          <w:rFonts w:ascii="Times New Roman" w:hAnsi="Times New Roman" w:cs="Times New Roman"/>
          <w:sz w:val="24"/>
          <w:szCs w:val="24"/>
        </w:rPr>
        <w:t>Самарскую</w:t>
      </w:r>
      <w:r w:rsidR="006B7D6D">
        <w:rPr>
          <w:rFonts w:ascii="Times New Roman" w:hAnsi="Times New Roman" w:cs="Times New Roman"/>
          <w:sz w:val="24"/>
          <w:szCs w:val="24"/>
        </w:rPr>
        <w:t xml:space="preserve">, </w:t>
      </w:r>
      <w:r w:rsidRPr="00833E3B">
        <w:rPr>
          <w:rFonts w:ascii="Times New Roman" w:hAnsi="Times New Roman" w:cs="Times New Roman"/>
          <w:sz w:val="24"/>
          <w:szCs w:val="24"/>
        </w:rPr>
        <w:t xml:space="preserve"> </w:t>
      </w:r>
      <w:r w:rsidR="006B7D6D" w:rsidRPr="00833E3B">
        <w:rPr>
          <w:rFonts w:ascii="Times New Roman" w:hAnsi="Times New Roman" w:cs="Times New Roman"/>
          <w:sz w:val="24"/>
          <w:szCs w:val="24"/>
        </w:rPr>
        <w:t>заместителя Главы городского округа по</w:t>
      </w:r>
      <w:r w:rsidR="006B7D6D">
        <w:rPr>
          <w:rFonts w:ascii="Times New Roman" w:hAnsi="Times New Roman" w:cs="Times New Roman"/>
          <w:sz w:val="24"/>
          <w:szCs w:val="24"/>
        </w:rPr>
        <w:t xml:space="preserve"> финансам - начальника Финансового управления АОГО Э.А. </w:t>
      </w:r>
      <w:proofErr w:type="spellStart"/>
      <w:r w:rsidR="006B7D6D">
        <w:rPr>
          <w:rFonts w:ascii="Times New Roman" w:hAnsi="Times New Roman" w:cs="Times New Roman"/>
          <w:sz w:val="24"/>
          <w:szCs w:val="24"/>
        </w:rPr>
        <w:t>Баландину</w:t>
      </w:r>
      <w:proofErr w:type="spellEnd"/>
      <w:r w:rsidR="006B7D6D">
        <w:rPr>
          <w:rFonts w:ascii="Times New Roman" w:hAnsi="Times New Roman" w:cs="Times New Roman"/>
          <w:sz w:val="24"/>
          <w:szCs w:val="24"/>
        </w:rPr>
        <w:t>.</w:t>
      </w:r>
    </w:p>
    <w:p w:rsidR="007D7126" w:rsidRPr="00833E3B" w:rsidRDefault="007D7126" w:rsidP="007D7126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3E3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01.01.202</w:t>
      </w:r>
      <w:r w:rsidR="00C40A0A">
        <w:rPr>
          <w:rFonts w:ascii="Times New Roman" w:hAnsi="Times New Roman" w:cs="Times New Roman"/>
          <w:sz w:val="24"/>
          <w:szCs w:val="24"/>
        </w:rPr>
        <w:t>5</w:t>
      </w:r>
      <w:r w:rsidRPr="00833E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D1D1D" w:rsidRPr="00833E3B" w:rsidRDefault="000D1D1D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05F06" w:rsidRPr="00833E3B" w:rsidRDefault="00803C8A" w:rsidP="00E472C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И.о.</w:t>
      </w:r>
      <w:r w:rsidR="007A1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Осинниковского</w:t>
      </w:r>
      <w:proofErr w:type="spellEnd"/>
    </w:p>
    <w:p w:rsidR="00E472C8" w:rsidRDefault="00905F06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A0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F1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30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803C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В.В. Кауров</w:t>
      </w:r>
    </w:p>
    <w:p w:rsidR="00BF140C" w:rsidRDefault="00BF140C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140C" w:rsidRPr="00833E3B" w:rsidRDefault="00BF140C" w:rsidP="00BF140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05F06" w:rsidRPr="00833E3B" w:rsidRDefault="00E472C8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постановлением ознакомлен</w:t>
      </w:r>
      <w:r w:rsidR="00905F06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05F06" w:rsidRPr="00833E3B" w:rsidRDefault="00905F06" w:rsidP="00E472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возложением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обязанностей согласен</w:t>
      </w:r>
      <w:r w:rsidR="00AE658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0A0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30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472C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Ю.А.</w:t>
      </w:r>
      <w:r w:rsidR="00AE6588"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Самарская </w:t>
      </w:r>
    </w:p>
    <w:p w:rsidR="003D7317" w:rsidRPr="00833E3B" w:rsidRDefault="003D7317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B7D6D" w:rsidRPr="00833E3B" w:rsidRDefault="006B7D6D" w:rsidP="006B7D6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3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постановлением ознакомлен, </w:t>
      </w:r>
    </w:p>
    <w:p w:rsidR="00E472C8" w:rsidRDefault="006B7D6D" w:rsidP="006B7D6D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33E3B">
        <w:rPr>
          <w:rFonts w:ascii="Times New Roman" w:hAnsi="Times New Roman" w:cs="Times New Roman"/>
          <w:color w:val="000000" w:themeColor="text1"/>
          <w:sz w:val="24"/>
          <w:szCs w:val="24"/>
        </w:rPr>
        <w:t>с возложением обязанностей согласен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Э.А.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Баландина</w:t>
      </w:r>
      <w:proofErr w:type="spellEnd"/>
    </w:p>
    <w:p w:rsidR="00833E3B" w:rsidRDefault="00833E3B" w:rsidP="00E472C8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D7126" w:rsidRDefault="006B7D6D" w:rsidP="007D712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Л.В.Федорова</w:t>
      </w:r>
    </w:p>
    <w:p w:rsidR="006B7D6D" w:rsidRDefault="006B7D6D" w:rsidP="007D712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4-50-01</w:t>
      </w:r>
    </w:p>
    <w:p w:rsidR="00280DA6" w:rsidRDefault="00280DA6" w:rsidP="007D712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lastRenderedPageBreak/>
        <w:t>Прил</w:t>
      </w:r>
      <w:bookmarkStart w:id="0" w:name="_GoBack"/>
      <w:bookmarkEnd w:id="0"/>
      <w:r w:rsidRPr="007D7126">
        <w:rPr>
          <w:rFonts w:ascii="Times New Roman" w:eastAsia="Times New Roman" w:hAnsi="Times New Roman" w:cs="Times New Roman"/>
          <w:sz w:val="24"/>
          <w:szCs w:val="24"/>
        </w:rPr>
        <w:t>ожение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3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4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C69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A5F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03C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26"/>
      <w:bookmarkEnd w:id="1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Кемеровской области - Кузбасса на 202</w:t>
      </w:r>
      <w:r w:rsidR="00AA5F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AA5F0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и 202</w:t>
      </w:r>
      <w:r w:rsidR="00AA5F0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Кемеровской области - Кузбасса (далее -</w:t>
      </w:r>
      <w:r w:rsidR="00616C3E" w:rsidRPr="00616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6C3E" w:rsidRPr="007D7126">
        <w:rPr>
          <w:rFonts w:ascii="Times New Roman" w:eastAsia="Times New Roman" w:hAnsi="Times New Roman" w:cs="Times New Roman"/>
          <w:sz w:val="24"/>
          <w:szCs w:val="24"/>
        </w:rPr>
        <w:t>Осинниковский</w:t>
      </w:r>
      <w:proofErr w:type="spellEnd"/>
      <w:r w:rsidR="00616C3E"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</w:t>
      </w:r>
      <w:r w:rsidR="00616C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городской округ) на 20</w:t>
      </w:r>
      <w:r w:rsidR="00AA5F01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AA5F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AA5F0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BC547F">
        <w:rPr>
          <w:rFonts w:ascii="Times New Roman" w:eastAsia="Times New Roman" w:hAnsi="Times New Roman" w:cs="Times New Roman"/>
          <w:sz w:val="24"/>
          <w:szCs w:val="24"/>
        </w:rPr>
        <w:t>одов (далее - долговая политика</w:t>
      </w:r>
      <w:r w:rsidR="00FC4F0B" w:rsidRPr="00FC4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4F0B"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FC4F0B"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) определяют основные цели и мероприятия по управлению муниципальным долгом </w:t>
      </w:r>
      <w:proofErr w:type="spellStart"/>
      <w:r w:rsidR="000422C4"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0422C4"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городского округа.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="001F06E7"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1F06E7"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является составной частью бюджетной политики и определяет стратегию эффективного управления муниципальным долгом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="001F06E7"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1F06E7"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реализуется с учетом мероприятий, предусмотренных Программой оздоровления муниципальных финансов на территории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E26B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 годы, утвержденной постановлением администрации </w:t>
      </w:r>
      <w:proofErr w:type="spellStart"/>
      <w:r w:rsidRPr="00E26B1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 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52D4D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E26B16">
        <w:rPr>
          <w:rFonts w:ascii="Times New Roman" w:eastAsia="Times New Roman" w:hAnsi="Times New Roman" w:cs="Times New Roman"/>
          <w:sz w:val="24"/>
          <w:szCs w:val="24"/>
        </w:rPr>
        <w:t>-п  (далее - Программа оздоровления муниципальных финансов).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Долговая политика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направлена на: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а) обеспечение финансирования дефицита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б) своевременное и полное исполнение долговых обязательств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в) обеспечение поддержания расходов на обслуживание муниципального долга в пределах, установленных законодательством Российской Федерации, и в соответствии с решением о бюджете городского округа на текущий финансовый год и на плановый период;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г) минимизацию стоимости обслуживания муниципального долга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>) гибкое реагирование на изменяющиеся условия финансовых рынков и использования наиболее благоприятных источников и форм заимствований;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е) соблюдение показателей и индикаторов, установленных Программой оздоровления муниципальных финансов.</w:t>
      </w:r>
    </w:p>
    <w:p w:rsidR="007D7126" w:rsidRPr="007D7126" w:rsidRDefault="007D7126" w:rsidP="00430977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B1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2. Итоги реализации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  <w:r w:rsidR="00E26B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7126" w:rsidRPr="007D7126" w:rsidRDefault="007D7126" w:rsidP="00430977">
      <w:pPr>
        <w:widowControl w:val="0"/>
        <w:autoSpaceDE w:val="0"/>
        <w:autoSpaceDN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4610" w:rsidRPr="003F4610" w:rsidRDefault="007D7126" w:rsidP="00430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61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51D95" w:rsidRPr="003F4610">
        <w:rPr>
          <w:rFonts w:ascii="Times New Roman" w:eastAsia="Times New Roman" w:hAnsi="Times New Roman" w:cs="Times New Roman"/>
          <w:sz w:val="24"/>
          <w:szCs w:val="24"/>
        </w:rPr>
        <w:t>итогам 2023 года муниципальный долг (</w:t>
      </w:r>
      <w:r w:rsidR="00951D95" w:rsidRPr="003F461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="00951D95" w:rsidRPr="003F4610">
        <w:rPr>
          <w:rFonts w:ascii="Times New Roman" w:eastAsia="Times New Roman" w:hAnsi="Times New Roman" w:cs="Times New Roman"/>
          <w:sz w:val="24"/>
          <w:szCs w:val="24"/>
        </w:rPr>
        <w:t>еструктурированная задолженность) уменьшился на 1416,2 тыс. рублей</w:t>
      </w:r>
      <w:r w:rsidR="00723F2D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951D95" w:rsidRPr="003F4610">
        <w:rPr>
          <w:rFonts w:ascii="Times New Roman" w:eastAsia="Times New Roman" w:hAnsi="Times New Roman" w:cs="Times New Roman"/>
          <w:sz w:val="24"/>
          <w:szCs w:val="24"/>
        </w:rPr>
        <w:t xml:space="preserve">о состоянию на 01.01.2024 года составил 12 745,8 тыс.рублей. </w:t>
      </w:r>
    </w:p>
    <w:p w:rsidR="00653AF5" w:rsidRDefault="00E36AEB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610">
        <w:rPr>
          <w:rFonts w:ascii="Times New Roman" w:eastAsia="Times New Roman" w:hAnsi="Times New Roman" w:cs="Times New Roman"/>
          <w:sz w:val="24"/>
          <w:szCs w:val="24"/>
        </w:rPr>
        <w:t>Гашение муниципального долга (</w:t>
      </w:r>
      <w:r w:rsidRPr="003F461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Pr="003F4610">
        <w:rPr>
          <w:rFonts w:ascii="Times New Roman" w:eastAsia="Times New Roman" w:hAnsi="Times New Roman" w:cs="Times New Roman"/>
          <w:sz w:val="24"/>
          <w:szCs w:val="24"/>
        </w:rPr>
        <w:t xml:space="preserve">еструктурированной задолженности) осуществляется </w:t>
      </w:r>
      <w:r w:rsidR="00FE5A7D" w:rsidRPr="003F461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графиком погашения </w:t>
      </w:r>
      <w:r w:rsidR="00FE5A7D" w:rsidRPr="003F461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="00FE5A7D" w:rsidRPr="003F4610">
        <w:rPr>
          <w:rFonts w:ascii="Times New Roman" w:eastAsia="Times New Roman" w:hAnsi="Times New Roman" w:cs="Times New Roman"/>
          <w:sz w:val="24"/>
          <w:szCs w:val="24"/>
        </w:rPr>
        <w:t xml:space="preserve">еструктурированной задолженности по бюджетному кредиту.  График погашения </w:t>
      </w:r>
      <w:r w:rsidR="00FE5A7D" w:rsidRPr="003F461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r w:rsidR="00FE5A7D" w:rsidRPr="003F4610">
        <w:rPr>
          <w:rFonts w:ascii="Times New Roman" w:eastAsia="Times New Roman" w:hAnsi="Times New Roman" w:cs="Times New Roman"/>
          <w:sz w:val="24"/>
          <w:szCs w:val="24"/>
        </w:rPr>
        <w:t>еструктурированной задолженности по бюджетному кредиту</w:t>
      </w:r>
      <w:r w:rsidR="003F4610" w:rsidRPr="003F4610">
        <w:rPr>
          <w:rFonts w:ascii="Times New Roman" w:eastAsia="Times New Roman" w:hAnsi="Times New Roman" w:cs="Times New Roman"/>
          <w:sz w:val="24"/>
          <w:szCs w:val="24"/>
        </w:rPr>
        <w:t xml:space="preserve"> является приложением к Дополнительному соглашению от 07 августа 2020 года </w:t>
      </w:r>
      <w:r w:rsidR="003F4610" w:rsidRPr="003F4610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к Договору от 26 июля 2018 г. № 402/02 о предоставлении из областного бюджета бюджетного кредита на частичное покрытие дефицита бюджета</w:t>
      </w:r>
      <w:r w:rsidR="003F4610" w:rsidRPr="003F4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610" w:rsidRPr="003F4610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3F4610" w:rsidRPr="003F4610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Кемеровской области.</w:t>
      </w:r>
      <w:r w:rsidR="007D7126" w:rsidRPr="003F4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F2D" w:rsidRPr="0097701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7126" w:rsidRPr="0097701A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r w:rsidR="007D7126" w:rsidRPr="0097701A">
        <w:rPr>
          <w:rFonts w:ascii="Times New Roman" w:eastAsia="Calibri" w:hAnsi="Times New Roman" w:cs="Times New Roman"/>
          <w:sz w:val="24"/>
          <w:szCs w:val="24"/>
        </w:rPr>
        <w:t>–</w:t>
      </w:r>
      <w:r w:rsidR="007D7126" w:rsidRPr="0097701A">
        <w:rPr>
          <w:rFonts w:ascii="Times New Roman" w:eastAsia="Times New Roman" w:hAnsi="Times New Roman" w:cs="Times New Roman"/>
          <w:sz w:val="24"/>
          <w:szCs w:val="24"/>
        </w:rPr>
        <w:t xml:space="preserve"> 2028 годах </w:t>
      </w:r>
      <w:r w:rsidR="0097701A">
        <w:rPr>
          <w:rFonts w:ascii="Times New Roman" w:eastAsia="Times New Roman" w:hAnsi="Times New Roman" w:cs="Times New Roman"/>
          <w:sz w:val="24"/>
          <w:szCs w:val="24"/>
        </w:rPr>
        <w:t xml:space="preserve">ежегодная </w:t>
      </w:r>
      <w:r w:rsidR="0097701A" w:rsidRPr="0097701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23F2D" w:rsidRPr="0097701A">
        <w:rPr>
          <w:rFonts w:ascii="Times New Roman" w:hAnsi="Times New Roman" w:cs="Times New Roman"/>
          <w:snapToGrid w:val="0"/>
          <w:sz w:val="24"/>
          <w:szCs w:val="24"/>
        </w:rPr>
        <w:t xml:space="preserve">умма возврата </w:t>
      </w:r>
      <w:r w:rsidR="0097701A" w:rsidRPr="0097701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реструктурированной задолженности </w:t>
      </w:r>
      <w:r w:rsidR="0097701A">
        <w:rPr>
          <w:rFonts w:ascii="Times New Roman" w:hAnsi="Times New Roman" w:cs="Times New Roman"/>
          <w:snapToGrid w:val="0"/>
          <w:sz w:val="24"/>
          <w:szCs w:val="24"/>
        </w:rPr>
        <w:t>будет составлять 1416,2 тыс. рублей,</w:t>
      </w:r>
      <w:r w:rsidR="007D7126" w:rsidRPr="0097701A">
        <w:rPr>
          <w:rFonts w:ascii="Times New Roman" w:eastAsia="Times New Roman" w:hAnsi="Times New Roman" w:cs="Times New Roman"/>
          <w:sz w:val="24"/>
          <w:szCs w:val="24"/>
        </w:rPr>
        <w:t xml:space="preserve"> в 2029 году 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- 5664,8 тыс. рублей.</w:t>
      </w:r>
    </w:p>
    <w:p w:rsidR="00E52A20" w:rsidRDefault="00CE60ED" w:rsidP="00653AF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истекший период 202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(январь-октябрь) в соответствии с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53AF5" w:rsidRPr="00653AF5">
        <w:rPr>
          <w:rFonts w:ascii="Times New Roman" w:eastAsia="Times New Roman" w:hAnsi="Times New Roman" w:cs="Times New Roman"/>
          <w:snapToGrid w:val="0"/>
          <w:sz w:val="24"/>
          <w:szCs w:val="24"/>
        </w:rPr>
        <w:t>рафик</w:t>
      </w:r>
      <w:r w:rsidR="00653AF5">
        <w:rPr>
          <w:rFonts w:ascii="Times New Roman" w:hAnsi="Times New Roman" w:cs="Times New Roman"/>
          <w:snapToGrid w:val="0"/>
          <w:sz w:val="24"/>
          <w:szCs w:val="24"/>
        </w:rPr>
        <w:t xml:space="preserve">ом </w:t>
      </w:r>
      <w:r w:rsidR="00653AF5" w:rsidRPr="00653AF5">
        <w:rPr>
          <w:rFonts w:ascii="Times New Roman" w:eastAsia="Times New Roman" w:hAnsi="Times New Roman" w:cs="Times New Roman"/>
          <w:snapToGrid w:val="0"/>
          <w:sz w:val="24"/>
          <w:szCs w:val="24"/>
        </w:rPr>
        <w:t>погашения реструктурированной задолженности</w:t>
      </w:r>
      <w:r w:rsidRPr="00653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погашено 1300,0 тыс. рублей, до 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 ноября 202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3AF5">
        <w:rPr>
          <w:rFonts w:ascii="Times New Roman" w:eastAsia="Times New Roman" w:hAnsi="Times New Roman" w:cs="Times New Roman"/>
          <w:sz w:val="24"/>
          <w:szCs w:val="24"/>
        </w:rPr>
        <w:t xml:space="preserve"> года муниципалитет погасит еще 116,2 тыс. рублей, общая сумма гашения составит 1416,2 тыс. рублей</w:t>
      </w:r>
      <w:r w:rsidR="00E52A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>Таким образом, сумма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>долга по состоянию на 01.01.202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составит 1</w:t>
      </w:r>
      <w:r w:rsidR="00EA39E7">
        <w:rPr>
          <w:rFonts w:ascii="Times New Roman" w:eastAsia="Times New Roman" w:hAnsi="Times New Roman" w:cs="Times New Roman"/>
          <w:sz w:val="24"/>
          <w:szCs w:val="24"/>
        </w:rPr>
        <w:t>1 329,6</w:t>
      </w:r>
      <w:r w:rsidR="007A1C6F" w:rsidRPr="007A1C6F">
        <w:rPr>
          <w:rFonts w:ascii="Times New Roman" w:eastAsia="Times New Roman" w:hAnsi="Times New Roman" w:cs="Times New Roman"/>
          <w:sz w:val="24"/>
          <w:szCs w:val="24"/>
        </w:rPr>
        <w:t xml:space="preserve"> тыс.руб.</w:t>
      </w:r>
      <w:r w:rsidR="007A1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72A6" w:rsidRPr="009C72A6" w:rsidRDefault="00B5459D" w:rsidP="009C72A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D7126" w:rsidRPr="007D712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7126" w:rsidRPr="007D7126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D7126">
        <w:rPr>
          <w:rFonts w:ascii="Times New Roman" w:hAnsi="Times New Roman" w:cs="Times New Roman"/>
          <w:sz w:val="24"/>
          <w:szCs w:val="24"/>
        </w:rPr>
        <w:t>кредит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7126">
        <w:rPr>
          <w:rFonts w:ascii="Times New Roman" w:hAnsi="Times New Roman" w:cs="Times New Roman"/>
          <w:sz w:val="24"/>
          <w:szCs w:val="24"/>
        </w:rPr>
        <w:t xml:space="preserve"> от кредитных организаций </w:t>
      </w:r>
      <w:r>
        <w:rPr>
          <w:rFonts w:ascii="Times New Roman" w:hAnsi="Times New Roman" w:cs="Times New Roman"/>
          <w:sz w:val="24"/>
          <w:szCs w:val="24"/>
        </w:rPr>
        <w:t>не привлекались</w:t>
      </w:r>
      <w:r w:rsidR="007D7126" w:rsidRPr="007D7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126" w:rsidRPr="007D7126" w:rsidRDefault="00B5459D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7126" w:rsidRPr="007D7126">
        <w:rPr>
          <w:rFonts w:ascii="Times New Roman" w:eastAsia="Times New Roman" w:hAnsi="Times New Roman" w:cs="Times New Roman"/>
          <w:sz w:val="24"/>
          <w:szCs w:val="24"/>
        </w:rPr>
        <w:t xml:space="preserve">труктура долговых обязательств представлена только бюджетными кредитами, </w:t>
      </w:r>
      <w:r w:rsidR="007D7126" w:rsidRPr="00867E22">
        <w:rPr>
          <w:rFonts w:ascii="Times New Roman" w:eastAsia="Times New Roman" w:hAnsi="Times New Roman" w:cs="Times New Roman"/>
          <w:sz w:val="24"/>
          <w:szCs w:val="24"/>
        </w:rPr>
        <w:t>полученными</w:t>
      </w:r>
      <w:r w:rsidR="007D7126" w:rsidRPr="007D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7126" w:rsidRPr="007D7126">
        <w:rPr>
          <w:rFonts w:ascii="Times New Roman" w:eastAsia="Times New Roman" w:hAnsi="Times New Roman" w:cs="Times New Roman"/>
          <w:sz w:val="24"/>
          <w:szCs w:val="24"/>
        </w:rPr>
        <w:t>Осинниковским</w:t>
      </w:r>
      <w:proofErr w:type="spellEnd"/>
      <w:r w:rsidR="007D7126"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городским округом из областного бюджета.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Структура долговых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округа: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тыс.рублей</w:t>
      </w:r>
    </w:p>
    <w:tbl>
      <w:tblPr>
        <w:tblStyle w:val="2"/>
        <w:tblW w:w="0" w:type="auto"/>
        <w:tblInd w:w="-459" w:type="dxa"/>
        <w:tblLayout w:type="fixed"/>
        <w:tblLook w:val="04A0"/>
      </w:tblPr>
      <w:tblGrid>
        <w:gridCol w:w="4253"/>
        <w:gridCol w:w="1417"/>
        <w:gridCol w:w="1276"/>
        <w:gridCol w:w="1418"/>
        <w:gridCol w:w="1559"/>
      </w:tblGrid>
      <w:tr w:rsidR="00B5459D" w:rsidRPr="007D7126" w:rsidTr="00C30CFB">
        <w:tc>
          <w:tcPr>
            <w:tcW w:w="4253" w:type="dxa"/>
            <w:vAlign w:val="center"/>
          </w:tcPr>
          <w:p w:rsidR="00B5459D" w:rsidRPr="007D7126" w:rsidRDefault="00B5459D" w:rsidP="00C30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459D" w:rsidRPr="007D7126" w:rsidRDefault="00B5459D" w:rsidP="00C7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B5459D" w:rsidRPr="007D7126" w:rsidRDefault="00B5459D" w:rsidP="00C77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B5459D" w:rsidRPr="007D7126" w:rsidRDefault="00B5459D" w:rsidP="00B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7E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B5459D" w:rsidRPr="007D7126" w:rsidRDefault="00B5459D" w:rsidP="00B5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459D" w:rsidRPr="007D7126" w:rsidTr="00C30CFB">
        <w:tc>
          <w:tcPr>
            <w:tcW w:w="4253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муниципального долга на н.г.</w:t>
            </w:r>
          </w:p>
        </w:tc>
        <w:tc>
          <w:tcPr>
            <w:tcW w:w="1417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14162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418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559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12745,8</w:t>
            </w:r>
          </w:p>
        </w:tc>
      </w:tr>
      <w:tr w:rsidR="00B5459D" w:rsidRPr="007D7126" w:rsidTr="00C30CFB">
        <w:tc>
          <w:tcPr>
            <w:tcW w:w="4253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53693,9</w:t>
            </w:r>
          </w:p>
        </w:tc>
        <w:tc>
          <w:tcPr>
            <w:tcW w:w="1276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459D" w:rsidRPr="007D7126" w:rsidTr="00C30CFB">
        <w:tc>
          <w:tcPr>
            <w:tcW w:w="4253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-53693,9</w:t>
            </w:r>
          </w:p>
        </w:tc>
        <w:tc>
          <w:tcPr>
            <w:tcW w:w="1276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-1416,2</w:t>
            </w:r>
          </w:p>
        </w:tc>
        <w:tc>
          <w:tcPr>
            <w:tcW w:w="1559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-1416,2</w:t>
            </w:r>
          </w:p>
        </w:tc>
      </w:tr>
      <w:tr w:rsidR="00B5459D" w:rsidRPr="007D7126" w:rsidTr="00C30CFB">
        <w:tc>
          <w:tcPr>
            <w:tcW w:w="4253" w:type="dxa"/>
          </w:tcPr>
          <w:p w:rsidR="00B5459D" w:rsidRPr="007D7126" w:rsidRDefault="00B5459D" w:rsidP="007D71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муниципального долга на к.г.</w:t>
            </w:r>
          </w:p>
        </w:tc>
        <w:tc>
          <w:tcPr>
            <w:tcW w:w="1417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276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>14162,0</w:t>
            </w:r>
          </w:p>
        </w:tc>
        <w:tc>
          <w:tcPr>
            <w:tcW w:w="1418" w:type="dxa"/>
          </w:tcPr>
          <w:p w:rsidR="00B5459D" w:rsidRPr="007D7126" w:rsidRDefault="00B5459D" w:rsidP="00C77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12745,8</w:t>
            </w:r>
          </w:p>
        </w:tc>
        <w:tc>
          <w:tcPr>
            <w:tcW w:w="1559" w:type="dxa"/>
          </w:tcPr>
          <w:p w:rsidR="00B5459D" w:rsidRPr="007D7126" w:rsidRDefault="00B5459D" w:rsidP="00B54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C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1329,6</w:t>
            </w:r>
          </w:p>
        </w:tc>
      </w:tr>
    </w:tbl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9A2D62" w:rsidRDefault="007D7126" w:rsidP="007D7126">
      <w:pPr>
        <w:tabs>
          <w:tab w:val="left" w:pos="142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D62">
        <w:rPr>
          <w:rFonts w:ascii="Times New Roman" w:hAnsi="Times New Roman" w:cs="Times New Roman"/>
          <w:sz w:val="24"/>
          <w:szCs w:val="24"/>
        </w:rPr>
        <w:t>По итогам исполнения бюджета городского округа за 202</w:t>
      </w:r>
      <w:r w:rsidR="00D44E50" w:rsidRPr="009A2D62">
        <w:rPr>
          <w:rFonts w:ascii="Times New Roman" w:hAnsi="Times New Roman" w:cs="Times New Roman"/>
          <w:sz w:val="24"/>
          <w:szCs w:val="24"/>
        </w:rPr>
        <w:t>3</w:t>
      </w:r>
      <w:r w:rsidRPr="009A2D6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D7126" w:rsidRPr="009A2D62" w:rsidRDefault="007D7126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D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2D62">
        <w:rPr>
          <w:rFonts w:ascii="Times New Roman" w:eastAsia="Times New Roman" w:hAnsi="Times New Roman" w:cs="Times New Roman"/>
          <w:sz w:val="24"/>
          <w:szCs w:val="24"/>
        </w:rPr>
        <w:tab/>
        <w:t>доля объема муниципального долга от общего объема доходов бюджета городского округа без учета безвозмездных поступлений и поступлений налоговых доходов по дополнительным нормативам отчислений</w:t>
      </w:r>
      <w:r w:rsidR="00A62CEB" w:rsidRPr="009A2D62">
        <w:rPr>
          <w:rFonts w:ascii="Times New Roman" w:eastAsia="Times New Roman" w:hAnsi="Times New Roman" w:cs="Times New Roman"/>
          <w:sz w:val="24"/>
          <w:szCs w:val="24"/>
        </w:rPr>
        <w:t xml:space="preserve"> составила 4,3%</w:t>
      </w:r>
      <w:r w:rsidR="00583320" w:rsidRPr="009A2D62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A62CEB" w:rsidRPr="009A2D62">
        <w:rPr>
          <w:rFonts w:ascii="Times New Roman" w:eastAsia="Times New Roman" w:hAnsi="Times New Roman" w:cs="Times New Roman"/>
          <w:sz w:val="24"/>
          <w:szCs w:val="24"/>
        </w:rPr>
        <w:t>1,8</w:t>
      </w:r>
      <w:r w:rsidR="00583320" w:rsidRPr="009A2D62">
        <w:rPr>
          <w:rFonts w:ascii="Times New Roman" w:eastAsia="Times New Roman" w:hAnsi="Times New Roman" w:cs="Times New Roman"/>
          <w:sz w:val="24"/>
          <w:szCs w:val="24"/>
        </w:rPr>
        <w:t>%  ниже показателя за 202</w:t>
      </w:r>
      <w:r w:rsidR="00A62CEB" w:rsidRPr="009A2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3320" w:rsidRPr="009A2D6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9A2D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7126" w:rsidRPr="007D7126" w:rsidRDefault="007D7126" w:rsidP="007D712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D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2D62">
        <w:rPr>
          <w:rFonts w:ascii="Times New Roman" w:eastAsia="Times New Roman" w:hAnsi="Times New Roman" w:cs="Times New Roman"/>
          <w:sz w:val="24"/>
          <w:szCs w:val="24"/>
        </w:rPr>
        <w:tab/>
        <w:t>доля объема расходов на обслуживание муниципального долга в общем объеме расходов бюджета без учета объема расходов, осуществляемых за счет субвенц</w:t>
      </w:r>
      <w:r w:rsidR="000D11A1" w:rsidRPr="009A2D62">
        <w:rPr>
          <w:rFonts w:ascii="Times New Roman" w:eastAsia="Times New Roman" w:hAnsi="Times New Roman" w:cs="Times New Roman"/>
          <w:sz w:val="24"/>
          <w:szCs w:val="24"/>
        </w:rPr>
        <w:t>ий из областного бюджета</w:t>
      </w:r>
      <w:r w:rsidR="009A2D62" w:rsidRPr="009A2D62">
        <w:rPr>
          <w:rFonts w:ascii="Times New Roman" w:eastAsia="Times New Roman" w:hAnsi="Times New Roman" w:cs="Times New Roman"/>
          <w:sz w:val="24"/>
          <w:szCs w:val="24"/>
        </w:rPr>
        <w:t xml:space="preserve"> осталась на уровне показателя за 2022 год, т.е.</w:t>
      </w:r>
      <w:r w:rsidR="000D11A1" w:rsidRPr="009A2D62">
        <w:rPr>
          <w:rFonts w:ascii="Times New Roman" w:eastAsia="Times New Roman" w:hAnsi="Times New Roman" w:cs="Times New Roman"/>
          <w:sz w:val="24"/>
          <w:szCs w:val="24"/>
        </w:rPr>
        <w:t xml:space="preserve"> 0,00</w:t>
      </w:r>
      <w:r w:rsidR="00E221BA" w:rsidRPr="009A2D6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2D62">
        <w:rPr>
          <w:rFonts w:ascii="Times New Roman" w:eastAsia="Times New Roman" w:hAnsi="Times New Roman" w:cs="Times New Roman"/>
          <w:sz w:val="24"/>
          <w:szCs w:val="24"/>
        </w:rPr>
        <w:t>%</w:t>
      </w:r>
      <w:r w:rsidR="009A2D62" w:rsidRPr="009A2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Муниципальные ценные бумаги не выпускались, муниципальные гарантии не предоставлялись.</w:t>
      </w:r>
    </w:p>
    <w:p w:rsidR="007D7126" w:rsidRDefault="007D7126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Ежегодно решением о бюджете городского округа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 в соответствии с бюджетным законодательством Российской Федерации</w:t>
      </w:r>
      <w:r w:rsidR="00EF7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 2020 года согласно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107.1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все муниципальные образования ежегодно делятся на группы заемщиков по уровням долговой устойчивости.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Оценка значений показателей долговой устойчивости проводится Министерством финансов Кузбасса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Кемеровской области - Кузбасса от 27.11.2020 N 697 "Об утверждении Порядка оценки долговой устойчивости муниципальных образований Кемеровской области - Кузбасса".</w:t>
      </w:r>
    </w:p>
    <w:p w:rsidR="00EF705B" w:rsidRDefault="00EF705B" w:rsidP="00EF70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классификацией муниципальных образований Кузбасса по группам долговой устойчивости в 202</w:t>
      </w:r>
      <w:r w:rsidR="008225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22509">
        <w:rPr>
          <w:rFonts w:ascii="Times New Roman" w:hAnsi="Times New Roman" w:cs="Times New Roman"/>
          <w:sz w:val="24"/>
          <w:szCs w:val="24"/>
        </w:rPr>
        <w:t>у (как и в 2021-2023 годах)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приказами Министерства финансов Кузбасса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отнесен к группе заемщиков с высоким уровнем долговой устойчивости.</w:t>
      </w:r>
    </w:p>
    <w:p w:rsidR="007D7126" w:rsidRPr="007D7126" w:rsidRDefault="007D7126" w:rsidP="007D712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3. Основные факторы, определяющие характер и направления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факторами, определяющими характер и направления долговой политики,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необходимость обеспечения безусловного исполнения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по соглашению о реструктуризации бюджетного кредита на частичное покрытие дефицита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изменения, вносимые в бюджетное законодательство Российской Федерации и законодательство Российской Федерации о налогах и сборах, которые в сопоставимом виде приводят к диспропорции между доходами и расходами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изменения в Бюджетный </w:t>
      </w:r>
      <w:hyperlink r:id="rId12" w:history="1">
        <w:r w:rsidRPr="007D7126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в части оценки долговой устойчивости муниципальных образований и их ранжирования в зависимости от уровня долговой устойчивости;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финансового обеспечения расходных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округа, принимаемых с учетом политики расходования бюджетных средств, направленной 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>на достижение национальных целей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>, установленных Указ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</w:t>
      </w:r>
      <w:r w:rsidRPr="003B136F">
        <w:rPr>
          <w:rFonts w:ascii="Times New Roman" w:eastAsia="Times New Roman" w:hAnsi="Times New Roman" w:cs="Times New Roman"/>
          <w:sz w:val="24"/>
          <w:szCs w:val="24"/>
        </w:rPr>
        <w:t xml:space="preserve"> от 07.05.20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B136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>309 "</w:t>
      </w:r>
      <w:r w:rsidRPr="003B136F">
        <w:rPr>
          <w:rFonts w:ascii="Times New Roman" w:eastAsia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B136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 xml:space="preserve"> и на перспективу до 20</w:t>
      </w:r>
      <w:r w:rsidR="004853E6">
        <w:rPr>
          <w:rFonts w:ascii="Times New Roman" w:eastAsia="Times New Roman" w:hAnsi="Times New Roman" w:cs="Times New Roman"/>
          <w:sz w:val="24"/>
          <w:szCs w:val="24"/>
        </w:rPr>
        <w:t>36</w:t>
      </w:r>
      <w:r w:rsidR="005C4994">
        <w:rPr>
          <w:rFonts w:ascii="Times New Roman" w:eastAsia="Times New Roman" w:hAnsi="Times New Roman" w:cs="Times New Roman"/>
          <w:sz w:val="24"/>
          <w:szCs w:val="24"/>
        </w:rPr>
        <w:t xml:space="preserve"> года"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и согласно Стратегии социально - экономического развития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до 2035 года, утвержденной Решением Совета народных депутатов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от 30.10.2018 №1-МНА.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В связи с эти</w:t>
      </w:r>
      <w:r w:rsidR="00D60A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основным направлением долговой политики является управление муниципальным долгом, позволяющим городскому округу относиться к группе заемщиков с высоким уровнем долговой устойчивости.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принципами долговой политики являются: эффективность, взвешенность, ответственность и открытость, а именно: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сохранение объема долговых обязательств на экономически безопасном уровне;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соблюдение норм бюджетного законодательства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полнота и своевременность исполнения долговых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прозрачность управления муниципальным долгом;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минимизация стоимости обслуживания муниципального долга в случае привлечения кредитов от кредитных организаций.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4. Цели и задачи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Целями долговой политики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долговых обязательств в полном объеме и в установленные сроки;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обеспечение привлечения в бюджет городского округа кредитов от кредитных организаций по ставкам на уровне не более, чем уровень ключевой ставки, установленной Центральным банком Российской Федерации, увеличенный на 1% годовых (в случае привлечения).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Задачи, которые необходимо решить при реализации долговой политики: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осуществление муниципальных заимствований в соответствии с реальными потребностями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- безоговорочное соблюдение ограничений, установленных Бюджетным кодексом Российской Федерации;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- учет информации о муниципальном долге, формирование отчетности о муниципальных долговых обязательствах.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5. Инструменты реализации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Инструментами реализации долговой политики являются: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1) направление дополнительных доходов, полученных при исполнении бюджета </w:t>
      </w:r>
      <w:r w:rsidRPr="007D7126">
        <w:rPr>
          <w:rFonts w:ascii="Times New Roman" w:eastAsia="Times New Roman" w:hAnsi="Times New Roman" w:cs="Times New Roman"/>
          <w:sz w:val="24"/>
          <w:szCs w:val="24"/>
        </w:rPr>
        <w:lastRenderedPageBreak/>
        <w:t>городского округа, на досрочное погашение долговых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2) недопущение принятия новых расходных обязательств, не обеспеченных стабильными источниками финансирования;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3) эффективное управление свободными остатками средств бюджета городского округа;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4) осуществление муниципальных внутренних заимствований в соответствии с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 с учетом планируемых кассовых разрывов, обеспечения равномерного распределения долговой нагрузки по годам, увеличения сроков заимствований в момент максимального благоприятствования, когда стоимость привлекаемых финансовых ресурсов минимальна;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5) использование всех возможностей по привлечению бюджетных кредитов из областного бюджета по причине их наименьшей стоимости;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6) осуществление мониторинга соответствия параметров муниципального долга ограничениям, установленным Бюджетным кодексом Российской Федерации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7) выполнение Программы оздоровления муниципальных финансов.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6. Анализ рисков для бюджета, возникающих в процессе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управления муниципальным долгом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рисками при управлении муниципальным долгом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объемов поступлений доходов бюджета городского округа -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недопоступление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процентный риск - вероятность увеличения суммы расходов бюджета городского округа на обслуживание муниципального долга вследствие увеличения процентных ставок;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ликвидности - отсутствие на едином счете бюджета городского округа необходимых средств для полного исполнения расходных и долговых обязательств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в срок;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риск невыполнения условий реструктуризации задолженности </w:t>
      </w:r>
      <w:proofErr w:type="spellStart"/>
      <w:r w:rsidRPr="007D7126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перед Кемеровской областью - Кузбассом по бюджетному кредиту, полученному в 2018 году.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достоверное прогнозирование доходов бюджета городского округа и поступлений по источникам финансирования дефицита бюджета;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>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sz w:val="24"/>
          <w:szCs w:val="24"/>
        </w:rPr>
        <w:t xml:space="preserve">принятие взвешенных и экономически обоснованных решений по принятию долговых обязательств. 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7. Сведения о показателях (индикаторах) реализации мероприятий долговой политики </w:t>
      </w:r>
      <w:proofErr w:type="spellStart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7D7126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7D7126" w:rsidRPr="007D7126" w:rsidRDefault="007D7126" w:rsidP="007D7126">
      <w:pPr>
        <w:widowControl w:val="0"/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126" w:rsidRPr="007D7126" w:rsidRDefault="007D7126" w:rsidP="007D712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26">
        <w:rPr>
          <w:rFonts w:ascii="Times New Roman" w:hAnsi="Times New Roman" w:cs="Times New Roman"/>
          <w:sz w:val="24"/>
          <w:szCs w:val="24"/>
        </w:rPr>
        <w:t xml:space="preserve">Основные мероприятия долговой политики </w:t>
      </w:r>
      <w:proofErr w:type="spellStart"/>
      <w:r w:rsidRPr="007D7126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7D7126">
        <w:rPr>
          <w:rFonts w:ascii="Times New Roman" w:hAnsi="Times New Roman" w:cs="Times New Roman"/>
          <w:sz w:val="24"/>
          <w:szCs w:val="24"/>
        </w:rPr>
        <w:t xml:space="preserve"> городского округа направлены на реализацию поставленных целей и задач долговой политики в целом и позволят обеспечить достижение показателей (индикаторов), приведенных в таблице</w:t>
      </w:r>
      <w:r w:rsidR="00922DFB">
        <w:rPr>
          <w:rFonts w:ascii="Times New Roman" w:hAnsi="Times New Roman" w:cs="Times New Roman"/>
          <w:sz w:val="24"/>
          <w:szCs w:val="24"/>
        </w:rPr>
        <w:t>:</w:t>
      </w:r>
    </w:p>
    <w:p w:rsidR="007D7126" w:rsidRPr="007D7126" w:rsidRDefault="007D7126" w:rsidP="007D712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371"/>
        <w:gridCol w:w="709"/>
        <w:gridCol w:w="709"/>
        <w:gridCol w:w="709"/>
      </w:tblGrid>
      <w:tr w:rsidR="00922DFB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B" w:rsidRPr="007D7126" w:rsidRDefault="00922DF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B" w:rsidRPr="007D7126" w:rsidRDefault="00922DFB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B" w:rsidRPr="007D7126" w:rsidRDefault="00922DFB" w:rsidP="00C7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B" w:rsidRPr="007D7126" w:rsidRDefault="00922DFB" w:rsidP="00C7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FB" w:rsidRPr="007D7126" w:rsidRDefault="00922DFB" w:rsidP="0092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D7126" w:rsidRPr="007D7126" w:rsidTr="009C72A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общего объема долговых обязательств к сумме доходов бюджета без учета безвозмездных поступлений</w:t>
            </w:r>
            <w:r w:rsidRPr="007D7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jc w:val="center"/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jc w:val="center"/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25%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объема дефицита бюджета к общему годовому объему доходов бюджета без учета 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7D7126" w:rsidRPr="00CF09E4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  <w:tr w:rsidR="007D7126" w:rsidRPr="007D7126" w:rsidTr="009C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7D7126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7D7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сумм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платежей по погашению и обслуживанию муниципального долга </w:t>
            </w:r>
            <w:proofErr w:type="spellStart"/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CF09E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</w:t>
            </w: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CF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дотаций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26" w:rsidRPr="00CF09E4" w:rsidRDefault="007D7126" w:rsidP="009C7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E4">
              <w:rPr>
                <w:rFonts w:ascii="Times New Roman" w:hAnsi="Times New Roman" w:cs="Times New Roman"/>
                <w:sz w:val="24"/>
                <w:szCs w:val="24"/>
              </w:rPr>
              <w:t>Не более 13%</w:t>
            </w:r>
          </w:p>
        </w:tc>
      </w:tr>
    </w:tbl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CFB" w:rsidRDefault="00C30CFB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2A6" w:rsidRPr="009C72A6" w:rsidRDefault="004853E6" w:rsidP="00C30C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BA14C9">
        <w:rPr>
          <w:rFonts w:ascii="Times New Roman" w:hAnsi="Times New Roman" w:cs="Times New Roman"/>
          <w:sz w:val="24"/>
          <w:szCs w:val="24"/>
        </w:rPr>
        <w:t>з</w:t>
      </w:r>
      <w:r w:rsidR="009C72A6" w:rsidRPr="009C72A6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C72A6" w:rsidRPr="009C72A6">
        <w:rPr>
          <w:rFonts w:ascii="Times New Roman" w:hAnsi="Times New Roman" w:cs="Times New Roman"/>
          <w:sz w:val="24"/>
          <w:szCs w:val="24"/>
        </w:rPr>
        <w:t xml:space="preserve">  Главы городского округа - </w:t>
      </w:r>
    </w:p>
    <w:p w:rsidR="00BA14C9" w:rsidRPr="00E65410" w:rsidRDefault="009C72A6" w:rsidP="00BA14C9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9C72A6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A14C9">
        <w:rPr>
          <w:rFonts w:ascii="Times New Roman" w:hAnsi="Times New Roman" w:cs="Times New Roman"/>
          <w:sz w:val="24"/>
          <w:szCs w:val="24"/>
        </w:rPr>
        <w:t>я</w:t>
      </w:r>
      <w:r w:rsidRPr="009C72A6">
        <w:rPr>
          <w:rFonts w:ascii="Times New Roman" w:hAnsi="Times New Roman" w:cs="Times New Roman"/>
          <w:sz w:val="24"/>
          <w:szCs w:val="24"/>
        </w:rPr>
        <w:t xml:space="preserve"> аппарата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14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A14C9" w:rsidRPr="009A2D62">
        <w:rPr>
          <w:rFonts w:ascii="Times New Roman" w:hAnsi="Times New Roman" w:cs="Times New Roman"/>
          <w:sz w:val="24"/>
          <w:szCs w:val="24"/>
        </w:rPr>
        <w:t xml:space="preserve">Е.Ю. </w:t>
      </w:r>
      <w:proofErr w:type="spellStart"/>
      <w:r w:rsidR="00BA14C9" w:rsidRPr="009A2D62">
        <w:rPr>
          <w:rFonts w:ascii="Times New Roman" w:hAnsi="Times New Roman" w:cs="Times New Roman"/>
          <w:sz w:val="24"/>
          <w:szCs w:val="24"/>
        </w:rPr>
        <w:t>Деревщукова</w:t>
      </w:r>
      <w:proofErr w:type="spellEnd"/>
    </w:p>
    <w:p w:rsidR="00BA14C9" w:rsidRPr="00CB2D07" w:rsidRDefault="00BA14C9" w:rsidP="00BA14C9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9C72A6" w:rsidRDefault="009C72A6" w:rsidP="00AC73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Default="00C30CFB" w:rsidP="009C72A6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</w:p>
    <w:p w:rsidR="00C30CFB" w:rsidRPr="00C30CFB" w:rsidRDefault="00C30CFB" w:rsidP="00C30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0CFB" w:rsidRPr="00C30CFB" w:rsidSect="00C30C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2D" w:rsidRDefault="00723F2D" w:rsidP="00E472C8">
      <w:pPr>
        <w:spacing w:after="0" w:line="240" w:lineRule="auto"/>
      </w:pPr>
      <w:r>
        <w:separator/>
      </w:r>
    </w:p>
  </w:endnote>
  <w:endnote w:type="continuationSeparator" w:id="0">
    <w:p w:rsidR="00723F2D" w:rsidRDefault="00723F2D" w:rsidP="00E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2D" w:rsidRDefault="00723F2D" w:rsidP="00E472C8">
      <w:pPr>
        <w:spacing w:after="0" w:line="240" w:lineRule="auto"/>
      </w:pPr>
      <w:r>
        <w:separator/>
      </w:r>
    </w:p>
  </w:footnote>
  <w:footnote w:type="continuationSeparator" w:id="0">
    <w:p w:rsidR="00723F2D" w:rsidRDefault="00723F2D" w:rsidP="00E4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215E8"/>
    <w:multiLevelType w:val="hybridMultilevel"/>
    <w:tmpl w:val="0E7E39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7317"/>
    <w:rsid w:val="000279B2"/>
    <w:rsid w:val="00030CEC"/>
    <w:rsid w:val="000422C4"/>
    <w:rsid w:val="00057F7E"/>
    <w:rsid w:val="0009490F"/>
    <w:rsid w:val="000A0BA2"/>
    <w:rsid w:val="000A3632"/>
    <w:rsid w:val="000A6FC9"/>
    <w:rsid w:val="000C7468"/>
    <w:rsid w:val="000D11A1"/>
    <w:rsid w:val="000D1D1D"/>
    <w:rsid w:val="00100EE6"/>
    <w:rsid w:val="00123DC8"/>
    <w:rsid w:val="00160540"/>
    <w:rsid w:val="0016390C"/>
    <w:rsid w:val="00190232"/>
    <w:rsid w:val="001A0727"/>
    <w:rsid w:val="001B34CF"/>
    <w:rsid w:val="001F06E7"/>
    <w:rsid w:val="001F395A"/>
    <w:rsid w:val="00206DEA"/>
    <w:rsid w:val="00236A29"/>
    <w:rsid w:val="0025667A"/>
    <w:rsid w:val="002749C4"/>
    <w:rsid w:val="00280DA6"/>
    <w:rsid w:val="00286E48"/>
    <w:rsid w:val="00296139"/>
    <w:rsid w:val="002B03FD"/>
    <w:rsid w:val="002D0E7D"/>
    <w:rsid w:val="002E4249"/>
    <w:rsid w:val="002E47F0"/>
    <w:rsid w:val="002E7813"/>
    <w:rsid w:val="0032583E"/>
    <w:rsid w:val="00353186"/>
    <w:rsid w:val="003721DE"/>
    <w:rsid w:val="003B136F"/>
    <w:rsid w:val="003C75A8"/>
    <w:rsid w:val="003D1F09"/>
    <w:rsid w:val="003D4B63"/>
    <w:rsid w:val="003D7317"/>
    <w:rsid w:val="003E6126"/>
    <w:rsid w:val="003E7357"/>
    <w:rsid w:val="003F4610"/>
    <w:rsid w:val="004148F8"/>
    <w:rsid w:val="004166A1"/>
    <w:rsid w:val="00423ED8"/>
    <w:rsid w:val="00430977"/>
    <w:rsid w:val="00433C36"/>
    <w:rsid w:val="0044464A"/>
    <w:rsid w:val="00446C48"/>
    <w:rsid w:val="004472FB"/>
    <w:rsid w:val="00450E51"/>
    <w:rsid w:val="004853E6"/>
    <w:rsid w:val="004901E8"/>
    <w:rsid w:val="00492DEF"/>
    <w:rsid w:val="00494B35"/>
    <w:rsid w:val="00495835"/>
    <w:rsid w:val="004B2361"/>
    <w:rsid w:val="004C0302"/>
    <w:rsid w:val="004D146D"/>
    <w:rsid w:val="004D7840"/>
    <w:rsid w:val="004E4FC8"/>
    <w:rsid w:val="004F0C14"/>
    <w:rsid w:val="0050467E"/>
    <w:rsid w:val="0051174D"/>
    <w:rsid w:val="005257B1"/>
    <w:rsid w:val="005267B0"/>
    <w:rsid w:val="00530D38"/>
    <w:rsid w:val="00531C69"/>
    <w:rsid w:val="00533CA4"/>
    <w:rsid w:val="005516BF"/>
    <w:rsid w:val="00557664"/>
    <w:rsid w:val="00561DAC"/>
    <w:rsid w:val="005649C4"/>
    <w:rsid w:val="005659A1"/>
    <w:rsid w:val="00580EE5"/>
    <w:rsid w:val="00582DE3"/>
    <w:rsid w:val="00583320"/>
    <w:rsid w:val="00591933"/>
    <w:rsid w:val="00591B1F"/>
    <w:rsid w:val="005955CA"/>
    <w:rsid w:val="005B00BC"/>
    <w:rsid w:val="005C4994"/>
    <w:rsid w:val="005D335F"/>
    <w:rsid w:val="005E73B6"/>
    <w:rsid w:val="00611C6B"/>
    <w:rsid w:val="00612ED1"/>
    <w:rsid w:val="00616C3E"/>
    <w:rsid w:val="006349D8"/>
    <w:rsid w:val="00653AF5"/>
    <w:rsid w:val="00653F5A"/>
    <w:rsid w:val="00657FE8"/>
    <w:rsid w:val="00670C10"/>
    <w:rsid w:val="006A15AA"/>
    <w:rsid w:val="006B7D6D"/>
    <w:rsid w:val="006C176C"/>
    <w:rsid w:val="006C39B8"/>
    <w:rsid w:val="006D531F"/>
    <w:rsid w:val="006D6F02"/>
    <w:rsid w:val="006E074F"/>
    <w:rsid w:val="006E783B"/>
    <w:rsid w:val="006F6509"/>
    <w:rsid w:val="00713E72"/>
    <w:rsid w:val="007225F3"/>
    <w:rsid w:val="00723F2D"/>
    <w:rsid w:val="00725322"/>
    <w:rsid w:val="00746833"/>
    <w:rsid w:val="007512CC"/>
    <w:rsid w:val="00774393"/>
    <w:rsid w:val="0078650B"/>
    <w:rsid w:val="00795723"/>
    <w:rsid w:val="007A1C6F"/>
    <w:rsid w:val="007A4E6E"/>
    <w:rsid w:val="007A5C60"/>
    <w:rsid w:val="007B18C0"/>
    <w:rsid w:val="007B1BE1"/>
    <w:rsid w:val="007D2601"/>
    <w:rsid w:val="007D7126"/>
    <w:rsid w:val="007F0750"/>
    <w:rsid w:val="00803C8A"/>
    <w:rsid w:val="00822509"/>
    <w:rsid w:val="00833E3B"/>
    <w:rsid w:val="00844EB1"/>
    <w:rsid w:val="00864917"/>
    <w:rsid w:val="00867E22"/>
    <w:rsid w:val="00881A38"/>
    <w:rsid w:val="008A17C3"/>
    <w:rsid w:val="008A5003"/>
    <w:rsid w:val="008D6E32"/>
    <w:rsid w:val="008E0276"/>
    <w:rsid w:val="008E3221"/>
    <w:rsid w:val="008E58A4"/>
    <w:rsid w:val="00905F06"/>
    <w:rsid w:val="00922DFB"/>
    <w:rsid w:val="00923F6F"/>
    <w:rsid w:val="009247E9"/>
    <w:rsid w:val="00945866"/>
    <w:rsid w:val="00951D95"/>
    <w:rsid w:val="00967BC6"/>
    <w:rsid w:val="009702FD"/>
    <w:rsid w:val="009756BA"/>
    <w:rsid w:val="0097701A"/>
    <w:rsid w:val="009A2D62"/>
    <w:rsid w:val="009C72A6"/>
    <w:rsid w:val="009E1311"/>
    <w:rsid w:val="009E22D9"/>
    <w:rsid w:val="00A41A6B"/>
    <w:rsid w:val="00A62CEB"/>
    <w:rsid w:val="00A71C05"/>
    <w:rsid w:val="00A746D0"/>
    <w:rsid w:val="00A74BA7"/>
    <w:rsid w:val="00A81CE5"/>
    <w:rsid w:val="00AA5F01"/>
    <w:rsid w:val="00AB08FF"/>
    <w:rsid w:val="00AB6684"/>
    <w:rsid w:val="00AC73E2"/>
    <w:rsid w:val="00AD42DD"/>
    <w:rsid w:val="00AE6588"/>
    <w:rsid w:val="00B11F8A"/>
    <w:rsid w:val="00B52D4D"/>
    <w:rsid w:val="00B5459D"/>
    <w:rsid w:val="00B61A72"/>
    <w:rsid w:val="00B63244"/>
    <w:rsid w:val="00B70DAD"/>
    <w:rsid w:val="00B733AF"/>
    <w:rsid w:val="00B81106"/>
    <w:rsid w:val="00BA14C9"/>
    <w:rsid w:val="00BB1BE9"/>
    <w:rsid w:val="00BC547F"/>
    <w:rsid w:val="00BE6C1D"/>
    <w:rsid w:val="00BF140C"/>
    <w:rsid w:val="00BF6890"/>
    <w:rsid w:val="00C020AC"/>
    <w:rsid w:val="00C210E1"/>
    <w:rsid w:val="00C30CFB"/>
    <w:rsid w:val="00C36C66"/>
    <w:rsid w:val="00C40A0A"/>
    <w:rsid w:val="00C47373"/>
    <w:rsid w:val="00C53DBE"/>
    <w:rsid w:val="00C6163E"/>
    <w:rsid w:val="00C7103F"/>
    <w:rsid w:val="00C92984"/>
    <w:rsid w:val="00CA272D"/>
    <w:rsid w:val="00CA3AE8"/>
    <w:rsid w:val="00CA4296"/>
    <w:rsid w:val="00CC010B"/>
    <w:rsid w:val="00CE375D"/>
    <w:rsid w:val="00CE60ED"/>
    <w:rsid w:val="00CF09E4"/>
    <w:rsid w:val="00D239AE"/>
    <w:rsid w:val="00D36DDF"/>
    <w:rsid w:val="00D4433E"/>
    <w:rsid w:val="00D44E50"/>
    <w:rsid w:val="00D54E29"/>
    <w:rsid w:val="00D60A85"/>
    <w:rsid w:val="00D64F3D"/>
    <w:rsid w:val="00D64FBD"/>
    <w:rsid w:val="00D660D7"/>
    <w:rsid w:val="00D723AA"/>
    <w:rsid w:val="00D95537"/>
    <w:rsid w:val="00DA555D"/>
    <w:rsid w:val="00DE56C3"/>
    <w:rsid w:val="00E21AE9"/>
    <w:rsid w:val="00E221BA"/>
    <w:rsid w:val="00E26B16"/>
    <w:rsid w:val="00E34407"/>
    <w:rsid w:val="00E36AEB"/>
    <w:rsid w:val="00E472C8"/>
    <w:rsid w:val="00E52A20"/>
    <w:rsid w:val="00E72281"/>
    <w:rsid w:val="00EA39E7"/>
    <w:rsid w:val="00ED5C79"/>
    <w:rsid w:val="00EE6208"/>
    <w:rsid w:val="00EF23A4"/>
    <w:rsid w:val="00EF705B"/>
    <w:rsid w:val="00F33EBF"/>
    <w:rsid w:val="00F3785C"/>
    <w:rsid w:val="00F83A5F"/>
    <w:rsid w:val="00FB2D3D"/>
    <w:rsid w:val="00FC4F0B"/>
    <w:rsid w:val="00FE4725"/>
    <w:rsid w:val="00FE5A7D"/>
    <w:rsid w:val="00FF09EA"/>
    <w:rsid w:val="00FF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D7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0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E47F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rsid w:val="002E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72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2C8"/>
  </w:style>
  <w:style w:type="paragraph" w:styleId="a8">
    <w:name w:val="footer"/>
    <w:basedOn w:val="a"/>
    <w:link w:val="a9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2C8"/>
  </w:style>
  <w:style w:type="paragraph" w:styleId="aa">
    <w:name w:val="List Paragraph"/>
    <w:basedOn w:val="a"/>
    <w:uiPriority w:val="34"/>
    <w:qFormat/>
    <w:rsid w:val="00492D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D7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D7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0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E47F0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rsid w:val="002E4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72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2C8"/>
  </w:style>
  <w:style w:type="paragraph" w:styleId="a8">
    <w:name w:val="footer"/>
    <w:basedOn w:val="a"/>
    <w:link w:val="a9"/>
    <w:uiPriority w:val="99"/>
    <w:unhideWhenUsed/>
    <w:rsid w:val="00E47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2C8"/>
  </w:style>
  <w:style w:type="paragraph" w:styleId="aa">
    <w:name w:val="List Paragraph"/>
    <w:basedOn w:val="a"/>
    <w:uiPriority w:val="34"/>
    <w:qFormat/>
    <w:rsid w:val="00492DE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D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944DA6ADFB0AD1BF40F829DA30DBABFFA9B633C52D47BFB4CE50F74013640E49F9FE37A57930FC130714A22y0x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76B246DC4B2D1900FAF9243FC3EFF3A08B25E7C5257C6AC67F886103F5486F637F06B1B9DB5A4C39E7EB51F90580386AG06A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E76B246DC4B2D1900FAE72929AFB3F6A0857FE8C125743F9A288E365CA54E3A233F00E0EA9F074A6CB0B105F41A842669099E0E5543G56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81D07FF03A20DB48E060D95EB842A80DB92A80FA57231A22E85E24B33EB7F9A045EFE7E39C6EB3BC30AD182663F44B63C404E86BACI4V4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90D9-C165-4149-9498-9E58B2B8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Fedorova</cp:lastModifiedBy>
  <cp:revision>34</cp:revision>
  <cp:lastPrinted>2024-11-07T01:18:00Z</cp:lastPrinted>
  <dcterms:created xsi:type="dcterms:W3CDTF">2024-09-27T01:40:00Z</dcterms:created>
  <dcterms:modified xsi:type="dcterms:W3CDTF">2024-11-07T01:53:00Z</dcterms:modified>
</cp:coreProperties>
</file>